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EDF00" w14:textId="77777777" w:rsidR="00E90AFD" w:rsidRDefault="00E90AFD" w:rsidP="004C1472">
      <w:bookmarkStart w:id="0" w:name="_GoBack"/>
      <w:bookmarkEnd w:id="0"/>
    </w:p>
    <w:p w14:paraId="132EDF01" w14:textId="77777777" w:rsidR="004C1472" w:rsidRDefault="004C1472" w:rsidP="004C1472"/>
    <w:p w14:paraId="132EDF02" w14:textId="77777777" w:rsidR="004C1472" w:rsidRDefault="004C1472" w:rsidP="004C1472"/>
    <w:p w14:paraId="132EDF03" w14:textId="77777777" w:rsidR="004C1472" w:rsidRDefault="004C1472" w:rsidP="004C14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4615"/>
      </w:tblGrid>
      <w:tr w:rsidR="00E90AFD" w14:paraId="132EDF06" w14:textId="77777777" w:rsidTr="00E90AFD">
        <w:trPr>
          <w:trHeight w:val="397"/>
        </w:trPr>
        <w:tc>
          <w:tcPr>
            <w:tcW w:w="2048" w:type="dxa"/>
            <w:shd w:val="clear" w:color="auto" w:fill="auto"/>
          </w:tcPr>
          <w:p w14:paraId="132EDF04" w14:textId="77777777" w:rsidR="00E90AFD" w:rsidRPr="00542C57" w:rsidRDefault="0077204E" w:rsidP="00E90AFD">
            <w:pPr>
              <w:pStyle w:val="BodyText"/>
              <w:rPr>
                <w:color w:val="0092BB" w:themeColor="accent1"/>
              </w:rPr>
            </w:pPr>
            <w:r>
              <w:rPr>
                <w:color w:val="0092BB" w:themeColor="accent1"/>
              </w:rPr>
              <w:t>EVENT</w:t>
            </w:r>
            <w:r w:rsidR="00040787">
              <w:rPr>
                <w:color w:val="0092BB" w:themeColor="accent1"/>
              </w:rPr>
              <w:t xml:space="preserve"> NAME</w:t>
            </w:r>
          </w:p>
        </w:tc>
        <w:tc>
          <w:tcPr>
            <w:tcW w:w="4615" w:type="dxa"/>
            <w:shd w:val="clear" w:color="auto" w:fill="auto"/>
          </w:tcPr>
          <w:p w14:paraId="132EDF05" w14:textId="34E46179" w:rsidR="00E90AFD" w:rsidRDefault="007F79A9" w:rsidP="00D0380B">
            <w:pPr>
              <w:pStyle w:val="BodyText"/>
            </w:pPr>
            <w:r>
              <w:t>Designing a legal fra</w:t>
            </w:r>
            <w:r w:rsidR="003313AA">
              <w:t>mework for Validation of non-for</w:t>
            </w:r>
            <w:r>
              <w:t>mal and informal learning in Macedonia</w:t>
            </w:r>
          </w:p>
        </w:tc>
      </w:tr>
      <w:tr w:rsidR="00E90AFD" w14:paraId="132EDF09" w14:textId="77777777" w:rsidTr="00E90AFD">
        <w:trPr>
          <w:trHeight w:val="397"/>
        </w:trPr>
        <w:tc>
          <w:tcPr>
            <w:tcW w:w="2048" w:type="dxa"/>
            <w:shd w:val="clear" w:color="auto" w:fill="auto"/>
          </w:tcPr>
          <w:p w14:paraId="132EDF07" w14:textId="77777777" w:rsidR="00E90AFD" w:rsidRPr="00542C57" w:rsidRDefault="004C0BDE" w:rsidP="00E90AFD">
            <w:pPr>
              <w:pStyle w:val="BodyText"/>
              <w:rPr>
                <w:color w:val="0092BB" w:themeColor="accent1"/>
              </w:rPr>
            </w:pPr>
            <w:r>
              <w:rPr>
                <w:color w:val="0092BB" w:themeColor="accent1"/>
              </w:rPr>
              <w:t>LOCATION</w:t>
            </w:r>
          </w:p>
        </w:tc>
        <w:tc>
          <w:tcPr>
            <w:tcW w:w="4615" w:type="dxa"/>
            <w:shd w:val="clear" w:color="auto" w:fill="auto"/>
          </w:tcPr>
          <w:p w14:paraId="132EDF08" w14:textId="24C3BAC3" w:rsidR="00E90AFD" w:rsidRDefault="007F79A9" w:rsidP="004C0BDE">
            <w:pPr>
              <w:pStyle w:val="BodyText"/>
            </w:pPr>
            <w:r>
              <w:t>Skopje, Former Yugoslav Republic of Macedonia</w:t>
            </w:r>
          </w:p>
        </w:tc>
      </w:tr>
      <w:tr w:rsidR="00E90AFD" w14:paraId="132EDF0C" w14:textId="77777777" w:rsidTr="00E90AFD">
        <w:trPr>
          <w:trHeight w:val="397"/>
        </w:trPr>
        <w:tc>
          <w:tcPr>
            <w:tcW w:w="2048" w:type="dxa"/>
            <w:shd w:val="clear" w:color="auto" w:fill="auto"/>
          </w:tcPr>
          <w:p w14:paraId="132EDF0A" w14:textId="77777777" w:rsidR="00E90AFD" w:rsidRPr="00542C57" w:rsidRDefault="004C0BDE" w:rsidP="004C0BDE">
            <w:pPr>
              <w:pStyle w:val="BodyText"/>
              <w:rPr>
                <w:color w:val="0092BB" w:themeColor="accent1"/>
              </w:rPr>
            </w:pPr>
            <w:r>
              <w:rPr>
                <w:color w:val="0092BB" w:themeColor="accent1"/>
              </w:rPr>
              <w:t>DATE(S)</w:t>
            </w:r>
          </w:p>
        </w:tc>
        <w:tc>
          <w:tcPr>
            <w:tcW w:w="4615" w:type="dxa"/>
            <w:shd w:val="clear" w:color="auto" w:fill="auto"/>
          </w:tcPr>
          <w:p w14:paraId="132EDF0B" w14:textId="115AC0DD" w:rsidR="00E90AFD" w:rsidRDefault="007F79A9" w:rsidP="000C79E9">
            <w:pPr>
              <w:pStyle w:val="BodyText"/>
            </w:pPr>
            <w:r>
              <w:t>30-31 May 2018</w:t>
            </w:r>
            <w:r w:rsidR="00B11BF5">
              <w:t xml:space="preserve"> </w:t>
            </w:r>
          </w:p>
        </w:tc>
      </w:tr>
      <w:tr w:rsidR="00E90AFD" w14:paraId="132EDF0F" w14:textId="77777777" w:rsidTr="00E90AFD">
        <w:trPr>
          <w:trHeight w:val="397"/>
        </w:trPr>
        <w:tc>
          <w:tcPr>
            <w:tcW w:w="2048" w:type="dxa"/>
            <w:shd w:val="clear" w:color="auto" w:fill="auto"/>
          </w:tcPr>
          <w:p w14:paraId="132EDF0D" w14:textId="77777777" w:rsidR="00E90AFD" w:rsidRPr="00542C57" w:rsidRDefault="00E90AFD" w:rsidP="00E90AFD">
            <w:pPr>
              <w:pStyle w:val="BodyText"/>
              <w:rPr>
                <w:color w:val="0092BB" w:themeColor="accent1"/>
              </w:rPr>
            </w:pPr>
          </w:p>
        </w:tc>
        <w:tc>
          <w:tcPr>
            <w:tcW w:w="4615" w:type="dxa"/>
            <w:shd w:val="clear" w:color="auto" w:fill="auto"/>
          </w:tcPr>
          <w:p w14:paraId="132EDF0E" w14:textId="77777777" w:rsidR="00E90AFD" w:rsidRDefault="00E90AFD" w:rsidP="00E90AFD">
            <w:pPr>
              <w:pStyle w:val="BodyText"/>
            </w:pPr>
          </w:p>
        </w:tc>
      </w:tr>
      <w:tr w:rsidR="00E90AFD" w14:paraId="132EDF12" w14:textId="77777777" w:rsidTr="00E90AFD">
        <w:trPr>
          <w:trHeight w:val="397"/>
        </w:trPr>
        <w:tc>
          <w:tcPr>
            <w:tcW w:w="2048" w:type="dxa"/>
            <w:shd w:val="clear" w:color="auto" w:fill="auto"/>
          </w:tcPr>
          <w:p w14:paraId="132EDF10" w14:textId="77777777" w:rsidR="00E90AFD" w:rsidRPr="00542C57" w:rsidRDefault="00E90AFD" w:rsidP="00E90AFD">
            <w:pPr>
              <w:pStyle w:val="BodyText"/>
              <w:rPr>
                <w:color w:val="0092BB" w:themeColor="accent1"/>
              </w:rPr>
            </w:pPr>
          </w:p>
        </w:tc>
        <w:tc>
          <w:tcPr>
            <w:tcW w:w="4615" w:type="dxa"/>
            <w:shd w:val="clear" w:color="auto" w:fill="auto"/>
          </w:tcPr>
          <w:p w14:paraId="132EDF11" w14:textId="77777777" w:rsidR="00E90AFD" w:rsidRDefault="00E90AFD" w:rsidP="00E90AFD">
            <w:pPr>
              <w:pStyle w:val="BodyText"/>
            </w:pPr>
          </w:p>
        </w:tc>
      </w:tr>
    </w:tbl>
    <w:p w14:paraId="132EDF13" w14:textId="77777777" w:rsidR="00DB5D6E" w:rsidRDefault="00DB5D6E" w:rsidP="00DB5D6E">
      <w:pPr>
        <w:pStyle w:val="BodyText"/>
      </w:pPr>
    </w:p>
    <w:p w14:paraId="132EDF14" w14:textId="77777777" w:rsidR="0077204E" w:rsidRDefault="0077204E" w:rsidP="00040787">
      <w:pPr>
        <w:pStyle w:val="Heading3"/>
      </w:pPr>
    </w:p>
    <w:p w14:paraId="132EDF16" w14:textId="77777777" w:rsidR="0077204E" w:rsidRPr="0077204E" w:rsidRDefault="0077204E" w:rsidP="00040787">
      <w:pPr>
        <w:pStyle w:val="BodyText"/>
        <w:rPr>
          <w:b/>
          <w:color w:val="66BED6" w:themeColor="accent2"/>
          <w:sz w:val="28"/>
          <w:szCs w:val="28"/>
        </w:rPr>
      </w:pPr>
      <w:r w:rsidRPr="0077204E">
        <w:rPr>
          <w:b/>
          <w:color w:val="66BED6" w:themeColor="accent2"/>
          <w:sz w:val="28"/>
          <w:szCs w:val="28"/>
        </w:rPr>
        <w:t>S</w:t>
      </w:r>
      <w:r>
        <w:rPr>
          <w:b/>
          <w:color w:val="66BED6" w:themeColor="accent2"/>
          <w:sz w:val="28"/>
          <w:szCs w:val="28"/>
        </w:rPr>
        <w:t>UMMARY</w:t>
      </w:r>
    </w:p>
    <w:p w14:paraId="132EDF17" w14:textId="7EA46355" w:rsidR="0007681B" w:rsidRDefault="007F79A9" w:rsidP="00040787">
      <w:pPr>
        <w:pStyle w:val="BodyText"/>
      </w:pPr>
      <w:r w:rsidRPr="007F79A9">
        <w:t xml:space="preserve">Former Yugoslav Republic of Macedonia has adopted a </w:t>
      </w:r>
      <w:r w:rsidRPr="005136E3">
        <w:rPr>
          <w:i/>
        </w:rPr>
        <w:t>Roadmap for implementing a System for VNFIL on the Republic of Macedonia</w:t>
      </w:r>
      <w:r w:rsidRPr="007F79A9">
        <w:t>, in 2016, following the adoption of a Concept Paper for Non-formal Adult Education and Informal Learning in 2015. A Guidance Note on V</w:t>
      </w:r>
      <w:r w:rsidR="005136E3">
        <w:t xml:space="preserve">alidation of </w:t>
      </w:r>
      <w:r w:rsidRPr="007F79A9">
        <w:t>N</w:t>
      </w:r>
      <w:r w:rsidR="005136E3">
        <w:t xml:space="preserve">on-formal and </w:t>
      </w:r>
      <w:r w:rsidRPr="007F79A9">
        <w:t>I</w:t>
      </w:r>
      <w:r w:rsidR="005136E3">
        <w:t xml:space="preserve">nformal </w:t>
      </w:r>
      <w:r w:rsidRPr="007F79A9">
        <w:t>L</w:t>
      </w:r>
      <w:r w:rsidR="005136E3">
        <w:t>earning (VNFIL)</w:t>
      </w:r>
      <w:r w:rsidRPr="007F79A9">
        <w:t xml:space="preserve"> processes and Specifications for the Methodology package were developed in 2017, which are also considering the different EU institutional frameworks, VNFIL procedures and instruments. Further on, a training session for potential VNFIL assessors was carried out in December 2017, based on a defined handbook for assessment. The </w:t>
      </w:r>
      <w:r w:rsidRPr="005136E3">
        <w:rPr>
          <w:i/>
        </w:rPr>
        <w:t>Adult Education Centre</w:t>
      </w:r>
      <w:r w:rsidR="005136E3">
        <w:t xml:space="preserve"> is involved i</w:t>
      </w:r>
      <w:r w:rsidRPr="007F79A9">
        <w:t xml:space="preserve">n all </w:t>
      </w:r>
      <w:r w:rsidR="005136E3">
        <w:t xml:space="preserve">validation related developments </w:t>
      </w:r>
      <w:r w:rsidRPr="007F79A9">
        <w:t xml:space="preserve">in the </w:t>
      </w:r>
      <w:r w:rsidR="005136E3">
        <w:t>country</w:t>
      </w:r>
      <w:r w:rsidRPr="007F79A9">
        <w:t>.</w:t>
      </w:r>
      <w:r w:rsidR="005136E3">
        <w:t xml:space="preserve"> In 2018, a Coordination Body and a Working Group have been established for further implementation of validation arrangements. However, the legal provisions for VNFIL are not in place yet.</w:t>
      </w:r>
    </w:p>
    <w:p w14:paraId="5D5542B9" w14:textId="3EB4D6F1" w:rsidR="007F79A9" w:rsidRDefault="00050B89" w:rsidP="00040787">
      <w:pPr>
        <w:pStyle w:val="BodyText"/>
      </w:pPr>
      <w:r>
        <w:t>In March 2018, ETF organised a</w:t>
      </w:r>
      <w:r w:rsidRPr="00050B89">
        <w:t xml:space="preserve"> joint Kosovo-Albania-Former Yugoslav Republic of Macedonia workshop </w:t>
      </w:r>
      <w:r>
        <w:t>based on</w:t>
      </w:r>
      <w:r w:rsidRPr="00050B89">
        <w:t xml:space="preserve"> a peer learning </w:t>
      </w:r>
      <w:r>
        <w:t>format</w:t>
      </w:r>
      <w:r w:rsidRPr="00050B89">
        <w:t xml:space="preserve">, aiming to improve capacities of country teams in VNFIL design and implementation. It </w:t>
      </w:r>
      <w:r>
        <w:t>was</w:t>
      </w:r>
      <w:r w:rsidRPr="00050B89">
        <w:t xml:space="preserve"> a technical workshop with concrete outputs: (a) two drafted first versions of by-laws, respectively, for Albania and for the Former Yugoslav Republic of Macedonia; and (b) draft procedures and processes for the accreditation of RPL providers, by country.</w:t>
      </w:r>
    </w:p>
    <w:p w14:paraId="15803798" w14:textId="626DC20E" w:rsidR="00050B89" w:rsidRDefault="00050B89" w:rsidP="00040787">
      <w:pPr>
        <w:pStyle w:val="BodyText"/>
      </w:pPr>
      <w:r>
        <w:t xml:space="preserve">Further to this joint workshop, the Macedonian team has concluded about the right legal provisions needed on </w:t>
      </w:r>
      <w:r w:rsidR="002B4E8D">
        <w:t>validation</w:t>
      </w:r>
      <w:r>
        <w:t xml:space="preserve">, and the need for formulating first the </w:t>
      </w:r>
      <w:proofErr w:type="spellStart"/>
      <w:r>
        <w:t>ammendments</w:t>
      </w:r>
      <w:proofErr w:type="spellEnd"/>
      <w:r>
        <w:t xml:space="preserve"> to the Adult Education Law</w:t>
      </w:r>
      <w:r w:rsidR="00836C15">
        <w:t>, of 2008</w:t>
      </w:r>
      <w:r>
        <w:t xml:space="preserve">. This workshop aims at </w:t>
      </w:r>
      <w:r w:rsidR="002B4E8D">
        <w:t>drafting those articles based on</w:t>
      </w:r>
      <w:r>
        <w:t xml:space="preserve"> the previous discussions and</w:t>
      </w:r>
      <w:r w:rsidR="002B4E8D">
        <w:t xml:space="preserve"> materials prepared and at </w:t>
      </w:r>
      <w:r>
        <w:t>formulat</w:t>
      </w:r>
      <w:r w:rsidR="002B4E8D">
        <w:t>ing</w:t>
      </w:r>
      <w:r>
        <w:t xml:space="preserve"> the final legal VNFIL provisions</w:t>
      </w:r>
      <w:r w:rsidR="002B4E8D">
        <w:t>. It also aims to transfer knowledge from the Slovenian validation system and to identify the next priority actions in this domain.</w:t>
      </w:r>
    </w:p>
    <w:p w14:paraId="132EDF1A" w14:textId="1525C471" w:rsidR="00CA1074" w:rsidRDefault="00CA1074" w:rsidP="00CA1074">
      <w:pPr>
        <w:pStyle w:val="BodyText"/>
        <w:rPr>
          <w:b/>
          <w:color w:val="66BED6" w:themeColor="accent2"/>
          <w:sz w:val="28"/>
          <w:szCs w:val="28"/>
        </w:rPr>
      </w:pPr>
      <w:r w:rsidRPr="00AF1F77">
        <w:rPr>
          <w:b/>
          <w:color w:val="66BED6" w:themeColor="accent2"/>
          <w:sz w:val="28"/>
          <w:szCs w:val="28"/>
        </w:rPr>
        <w:lastRenderedPageBreak/>
        <w:t xml:space="preserve">Day one, </w:t>
      </w:r>
      <w:r w:rsidR="00836C15">
        <w:rPr>
          <w:b/>
          <w:color w:val="66BED6" w:themeColor="accent2"/>
          <w:sz w:val="28"/>
          <w:szCs w:val="28"/>
        </w:rPr>
        <w:t>30 May 2018</w:t>
      </w:r>
    </w:p>
    <w:p w14:paraId="645111D3" w14:textId="77777777" w:rsidR="00235934" w:rsidRPr="00AF1F77" w:rsidRDefault="00235934" w:rsidP="00CA1074">
      <w:pPr>
        <w:pStyle w:val="BodyText"/>
        <w:rPr>
          <w:b/>
          <w:color w:val="66BED6" w:themeColor="accent2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CA1074" w14:paraId="132EDF1D" w14:textId="77777777" w:rsidTr="00C77076">
        <w:tc>
          <w:tcPr>
            <w:tcW w:w="1951" w:type="dxa"/>
            <w:vAlign w:val="center"/>
          </w:tcPr>
          <w:p w14:paraId="132EDF1B" w14:textId="5C55941D" w:rsidR="00CA1074" w:rsidRPr="00177209" w:rsidRDefault="008634FD" w:rsidP="007109AD">
            <w:pPr>
              <w:pStyle w:val="ETFBodyText"/>
              <w:ind w:left="360"/>
            </w:pPr>
            <w:r>
              <w:t>0</w:t>
            </w:r>
            <w:r w:rsidR="007109AD">
              <w:t>8</w:t>
            </w:r>
            <w:r w:rsidR="00B11BF5">
              <w:t xml:space="preserve">:30 – </w:t>
            </w:r>
            <w:r w:rsidR="007109AD">
              <w:t>09</w:t>
            </w:r>
            <w:r w:rsidR="00B11BF5">
              <w:t>:</w:t>
            </w:r>
            <w:r w:rsidR="00836C15">
              <w:t>15</w:t>
            </w:r>
          </w:p>
        </w:tc>
        <w:tc>
          <w:tcPr>
            <w:tcW w:w="7337" w:type="dxa"/>
            <w:vAlign w:val="center"/>
          </w:tcPr>
          <w:p w14:paraId="1EA11D2C" w14:textId="77777777" w:rsidR="007109AD" w:rsidRDefault="00836C15" w:rsidP="008634FD">
            <w:pPr>
              <w:pStyle w:val="ETFBodyText"/>
              <w:ind w:left="360"/>
            </w:pPr>
            <w:r>
              <w:t>O</w:t>
            </w:r>
            <w:r w:rsidR="007109AD">
              <w:t xml:space="preserve">pening session </w:t>
            </w:r>
          </w:p>
          <w:p w14:paraId="7858C1DC" w14:textId="77777777" w:rsidR="007109AD" w:rsidRDefault="007109AD" w:rsidP="007109AD">
            <w:pPr>
              <w:pStyle w:val="ETFBodyText"/>
              <w:ind w:left="743"/>
            </w:pPr>
            <w:r w:rsidRPr="007109AD">
              <w:rPr>
                <w:i/>
              </w:rPr>
              <w:t>Lindita Qazimi</w:t>
            </w:r>
            <w:r>
              <w:t xml:space="preserve">, Director of the </w:t>
            </w:r>
            <w:r w:rsidR="00836C15">
              <w:t>A</w:t>
            </w:r>
            <w:r>
              <w:t xml:space="preserve">dult </w:t>
            </w:r>
            <w:r w:rsidR="00836C15">
              <w:t>E</w:t>
            </w:r>
            <w:r>
              <w:t xml:space="preserve">ducation </w:t>
            </w:r>
            <w:r w:rsidR="00836C15">
              <w:t>C</w:t>
            </w:r>
            <w:r>
              <w:t>entre</w:t>
            </w:r>
          </w:p>
          <w:p w14:paraId="4D1A823F" w14:textId="694FDF5F" w:rsidR="00836C15" w:rsidRDefault="007109AD" w:rsidP="007109AD">
            <w:pPr>
              <w:pStyle w:val="ETFBodyText"/>
              <w:ind w:left="743"/>
            </w:pPr>
            <w:r w:rsidRPr="007109AD">
              <w:rPr>
                <w:i/>
              </w:rPr>
              <w:t>Filippo del Ninno</w:t>
            </w:r>
            <w:r>
              <w:t>, Country Desk Macedonia, ETF</w:t>
            </w:r>
          </w:p>
          <w:p w14:paraId="0309D24D" w14:textId="77777777" w:rsidR="007109AD" w:rsidRDefault="00836C15" w:rsidP="00836C15">
            <w:pPr>
              <w:pStyle w:val="ETFBodyText"/>
              <w:ind w:left="360"/>
            </w:pPr>
            <w:r>
              <w:t>Introduction to the objectives o</w:t>
            </w:r>
            <w:r w:rsidR="007109AD">
              <w:t xml:space="preserve">f the workshop </w:t>
            </w:r>
          </w:p>
          <w:p w14:paraId="132EDF1C" w14:textId="48D2FCFD" w:rsidR="00C36A3C" w:rsidRPr="00141B59" w:rsidRDefault="00836C15" w:rsidP="007109AD">
            <w:pPr>
              <w:pStyle w:val="ETFBodyText"/>
              <w:ind w:left="743"/>
            </w:pPr>
            <w:r w:rsidRPr="007109AD">
              <w:rPr>
                <w:i/>
              </w:rPr>
              <w:t>C</w:t>
            </w:r>
            <w:r w:rsidR="007109AD" w:rsidRPr="007109AD">
              <w:rPr>
                <w:i/>
              </w:rPr>
              <w:t>armo Gomes</w:t>
            </w:r>
            <w:r w:rsidR="007109AD">
              <w:t>, Vocational Education and Training Specialist, ETF</w:t>
            </w:r>
          </w:p>
        </w:tc>
      </w:tr>
      <w:tr w:rsidR="00836C15" w14:paraId="140BC833" w14:textId="77777777" w:rsidTr="00C77076">
        <w:tc>
          <w:tcPr>
            <w:tcW w:w="1951" w:type="dxa"/>
            <w:vAlign w:val="center"/>
          </w:tcPr>
          <w:p w14:paraId="5B3AADA5" w14:textId="13742C0A" w:rsidR="00836C15" w:rsidRDefault="007109AD" w:rsidP="007109AD">
            <w:pPr>
              <w:pStyle w:val="ETFBodyText"/>
              <w:ind w:left="360"/>
            </w:pPr>
            <w:r>
              <w:t>09:15 – 09</w:t>
            </w:r>
            <w:r w:rsidR="00836C15">
              <w:t>:</w:t>
            </w:r>
            <w:r>
              <w:t>45</w:t>
            </w:r>
          </w:p>
        </w:tc>
        <w:tc>
          <w:tcPr>
            <w:tcW w:w="7337" w:type="dxa"/>
            <w:vAlign w:val="center"/>
          </w:tcPr>
          <w:p w14:paraId="2638D29E" w14:textId="77777777" w:rsidR="007109AD" w:rsidRDefault="00836C15" w:rsidP="00836C15">
            <w:pPr>
              <w:pStyle w:val="ETFBodyText"/>
              <w:ind w:left="360"/>
            </w:pPr>
            <w:r>
              <w:t>Presentation of</w:t>
            </w:r>
            <w:r w:rsidR="007109AD">
              <w:t xml:space="preserve"> the VNFIL progresses in FYROM </w:t>
            </w:r>
          </w:p>
          <w:p w14:paraId="75247E3C" w14:textId="4B4D5A36" w:rsidR="00836C15" w:rsidRDefault="007109AD" w:rsidP="007109AD">
            <w:pPr>
              <w:pStyle w:val="ETFBodyText"/>
              <w:ind w:left="743"/>
            </w:pPr>
            <w:r>
              <w:rPr>
                <w:i/>
              </w:rPr>
              <w:t>Maja Korubin</w:t>
            </w:r>
            <w:r>
              <w:t>, Adult Education Centre</w:t>
            </w:r>
          </w:p>
        </w:tc>
      </w:tr>
      <w:tr w:rsidR="00836C15" w14:paraId="132EDF23" w14:textId="77777777" w:rsidTr="00C77076">
        <w:tc>
          <w:tcPr>
            <w:tcW w:w="1951" w:type="dxa"/>
            <w:vAlign w:val="center"/>
          </w:tcPr>
          <w:p w14:paraId="132EDF21" w14:textId="48FD76F0" w:rsidR="00836C15" w:rsidRPr="00177209" w:rsidRDefault="007109AD" w:rsidP="007109AD">
            <w:pPr>
              <w:pStyle w:val="ETFBodyText"/>
              <w:ind w:left="360"/>
            </w:pPr>
            <w:r>
              <w:t>09</w:t>
            </w:r>
            <w:r w:rsidR="00836C15">
              <w:t>:</w:t>
            </w:r>
            <w:r>
              <w:t>45 – 11:30</w:t>
            </w:r>
          </w:p>
        </w:tc>
        <w:tc>
          <w:tcPr>
            <w:tcW w:w="7337" w:type="dxa"/>
            <w:vAlign w:val="center"/>
          </w:tcPr>
          <w:p w14:paraId="2F05F50D" w14:textId="77777777" w:rsidR="00836C15" w:rsidRDefault="00836C15" w:rsidP="00836C15">
            <w:pPr>
              <w:pStyle w:val="ETFBulletlevel1"/>
              <w:numPr>
                <w:ilvl w:val="0"/>
                <w:numId w:val="0"/>
              </w:numPr>
              <w:ind w:left="360"/>
            </w:pPr>
            <w:r>
              <w:t>Presentation of the VNFIL system in Slovenia (to be defined)</w:t>
            </w:r>
          </w:p>
          <w:p w14:paraId="132EDF22" w14:textId="73E66CB8" w:rsidR="00836C15" w:rsidRPr="00836C15" w:rsidRDefault="00836C15" w:rsidP="00836C15">
            <w:pPr>
              <w:pStyle w:val="ETFBodyText"/>
              <w:ind w:left="743"/>
              <w:rPr>
                <w:i/>
              </w:rPr>
            </w:pPr>
            <w:r w:rsidRPr="00836C15">
              <w:rPr>
                <w:i/>
              </w:rPr>
              <w:t>Questions &amp; Answers</w:t>
            </w:r>
            <w:r>
              <w:t xml:space="preserve"> (interactive session)</w:t>
            </w:r>
          </w:p>
        </w:tc>
      </w:tr>
      <w:tr w:rsidR="007109AD" w:rsidRPr="00836C15" w14:paraId="059998A7" w14:textId="77777777" w:rsidTr="007109AD">
        <w:tc>
          <w:tcPr>
            <w:tcW w:w="1951" w:type="dxa"/>
            <w:vAlign w:val="center"/>
          </w:tcPr>
          <w:p w14:paraId="2C603A5B" w14:textId="5A9F4636" w:rsidR="007109AD" w:rsidRPr="00836C15" w:rsidRDefault="007109AD" w:rsidP="007109AD">
            <w:pPr>
              <w:pStyle w:val="ETFBodyText"/>
              <w:ind w:left="360"/>
              <w:rPr>
                <w:i/>
              </w:rPr>
            </w:pPr>
            <w:r w:rsidRPr="00836C15">
              <w:rPr>
                <w:i/>
              </w:rPr>
              <w:t>11:</w:t>
            </w:r>
            <w:r>
              <w:rPr>
                <w:i/>
              </w:rPr>
              <w:t>3</w:t>
            </w:r>
            <w:r w:rsidRPr="00836C15">
              <w:rPr>
                <w:i/>
              </w:rPr>
              <w:t>0 – 11:</w:t>
            </w:r>
            <w:r>
              <w:rPr>
                <w:i/>
              </w:rPr>
              <w:t>45</w:t>
            </w:r>
            <w:r w:rsidRPr="00836C15">
              <w:rPr>
                <w:i/>
              </w:rPr>
              <w:t xml:space="preserve"> </w:t>
            </w:r>
          </w:p>
        </w:tc>
        <w:tc>
          <w:tcPr>
            <w:tcW w:w="7337" w:type="dxa"/>
            <w:vAlign w:val="center"/>
          </w:tcPr>
          <w:p w14:paraId="02AB6DA2" w14:textId="77777777" w:rsidR="007109AD" w:rsidRPr="00836C15" w:rsidRDefault="007109AD" w:rsidP="007109AD">
            <w:pPr>
              <w:pStyle w:val="ETFBulletlevel1"/>
              <w:numPr>
                <w:ilvl w:val="0"/>
                <w:numId w:val="0"/>
              </w:numPr>
              <w:ind w:left="360"/>
              <w:rPr>
                <w:i/>
              </w:rPr>
            </w:pPr>
            <w:r w:rsidRPr="00836C15">
              <w:rPr>
                <w:i/>
              </w:rPr>
              <w:t>Coffee Break</w:t>
            </w:r>
          </w:p>
        </w:tc>
      </w:tr>
      <w:tr w:rsidR="007109AD" w14:paraId="132EDF26" w14:textId="77777777" w:rsidTr="00C77076">
        <w:tc>
          <w:tcPr>
            <w:tcW w:w="1951" w:type="dxa"/>
            <w:vAlign w:val="center"/>
          </w:tcPr>
          <w:p w14:paraId="132EDF24" w14:textId="31467ADE" w:rsidR="007109AD" w:rsidRPr="00177209" w:rsidRDefault="007109AD" w:rsidP="007109AD">
            <w:pPr>
              <w:pStyle w:val="ETFBodyText"/>
              <w:ind w:left="360"/>
            </w:pPr>
            <w:r>
              <w:t xml:space="preserve">11:45 – 13:00 </w:t>
            </w:r>
          </w:p>
        </w:tc>
        <w:tc>
          <w:tcPr>
            <w:tcW w:w="7337" w:type="dxa"/>
            <w:vAlign w:val="center"/>
          </w:tcPr>
          <w:p w14:paraId="36407120" w14:textId="542C3897" w:rsidR="007109AD" w:rsidRDefault="007109AD" w:rsidP="007109AD">
            <w:pPr>
              <w:pStyle w:val="ETFBulletlevel1"/>
              <w:numPr>
                <w:ilvl w:val="0"/>
                <w:numId w:val="0"/>
              </w:numPr>
              <w:ind w:left="360"/>
            </w:pPr>
            <w:r>
              <w:t xml:space="preserve">Working groups for </w:t>
            </w:r>
            <w:proofErr w:type="spellStart"/>
            <w:r>
              <w:t>drating</w:t>
            </w:r>
            <w:proofErr w:type="spellEnd"/>
            <w:r>
              <w:t>/revising the respective articles for including VNFIL provisions in the Adult Education Law (Facilitation by AEC)</w:t>
            </w:r>
          </w:p>
          <w:p w14:paraId="132EDF25" w14:textId="6140B862" w:rsidR="007109AD" w:rsidRPr="00141B59" w:rsidRDefault="007109AD" w:rsidP="007109AD">
            <w:pPr>
              <w:pStyle w:val="ETFBulletlevel1"/>
              <w:numPr>
                <w:ilvl w:val="0"/>
                <w:numId w:val="0"/>
              </w:numPr>
              <w:ind w:left="360"/>
            </w:pPr>
            <w:r w:rsidRPr="00836C15">
              <w:rPr>
                <w:i/>
              </w:rPr>
              <w:t>Coffee break served in the room</w:t>
            </w:r>
          </w:p>
        </w:tc>
      </w:tr>
      <w:tr w:rsidR="007109AD" w14:paraId="2BC801EF" w14:textId="77777777" w:rsidTr="00C77076">
        <w:tc>
          <w:tcPr>
            <w:tcW w:w="1951" w:type="dxa"/>
            <w:vAlign w:val="center"/>
          </w:tcPr>
          <w:p w14:paraId="5257DF82" w14:textId="78B608AC" w:rsidR="007109AD" w:rsidRPr="007109AD" w:rsidRDefault="007109AD" w:rsidP="007109AD">
            <w:pPr>
              <w:pStyle w:val="ETFBodyText"/>
              <w:ind w:left="360"/>
              <w:rPr>
                <w:i/>
              </w:rPr>
            </w:pPr>
            <w:r w:rsidRPr="007109AD">
              <w:rPr>
                <w:i/>
              </w:rPr>
              <w:t>1</w:t>
            </w:r>
            <w:r>
              <w:rPr>
                <w:i/>
              </w:rPr>
              <w:t>3</w:t>
            </w:r>
            <w:r w:rsidRPr="007109AD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109AD">
              <w:rPr>
                <w:i/>
              </w:rPr>
              <w:t>0 – 14:00</w:t>
            </w:r>
          </w:p>
        </w:tc>
        <w:tc>
          <w:tcPr>
            <w:tcW w:w="7337" w:type="dxa"/>
            <w:vAlign w:val="center"/>
          </w:tcPr>
          <w:p w14:paraId="1026639C" w14:textId="223DEBD3" w:rsidR="007109AD" w:rsidRPr="007109AD" w:rsidRDefault="007109AD" w:rsidP="007109AD">
            <w:pPr>
              <w:pStyle w:val="ETFBulletlevel1"/>
              <w:numPr>
                <w:ilvl w:val="0"/>
                <w:numId w:val="0"/>
              </w:numPr>
              <w:ind w:left="360"/>
              <w:rPr>
                <w:i/>
              </w:rPr>
            </w:pPr>
            <w:r w:rsidRPr="007109AD">
              <w:rPr>
                <w:i/>
              </w:rPr>
              <w:t xml:space="preserve">Lunch </w:t>
            </w:r>
          </w:p>
        </w:tc>
      </w:tr>
      <w:tr w:rsidR="007109AD" w14:paraId="132EDF29" w14:textId="77777777" w:rsidTr="00C77076">
        <w:tc>
          <w:tcPr>
            <w:tcW w:w="1951" w:type="dxa"/>
            <w:vAlign w:val="center"/>
          </w:tcPr>
          <w:p w14:paraId="132EDF27" w14:textId="5908AF34" w:rsidR="007109AD" w:rsidRPr="00177209" w:rsidRDefault="007109AD" w:rsidP="007109AD">
            <w:pPr>
              <w:pStyle w:val="ETFBodyText"/>
              <w:ind w:left="360"/>
            </w:pPr>
            <w:r>
              <w:t xml:space="preserve">14:00 – 16:00 </w:t>
            </w:r>
          </w:p>
        </w:tc>
        <w:tc>
          <w:tcPr>
            <w:tcW w:w="7337" w:type="dxa"/>
            <w:vAlign w:val="center"/>
          </w:tcPr>
          <w:p w14:paraId="54F47EC1" w14:textId="56A45734" w:rsidR="007109AD" w:rsidRDefault="007109AD" w:rsidP="007109AD">
            <w:pPr>
              <w:pStyle w:val="ETFBulletlevel1"/>
              <w:numPr>
                <w:ilvl w:val="0"/>
                <w:numId w:val="0"/>
              </w:numPr>
              <w:ind w:left="360"/>
            </w:pPr>
            <w:r>
              <w:t xml:space="preserve">Cont. - Working groups for </w:t>
            </w:r>
            <w:proofErr w:type="spellStart"/>
            <w:r>
              <w:t>drating</w:t>
            </w:r>
            <w:proofErr w:type="spellEnd"/>
            <w:r>
              <w:t>/revising the respective articles for including VNFIL provisions in the Adult Education Law (Facilitation by AEC)</w:t>
            </w:r>
          </w:p>
          <w:p w14:paraId="132EDF28" w14:textId="2E12BE02" w:rsidR="007109AD" w:rsidRPr="00836C15" w:rsidRDefault="00C12550" w:rsidP="00C12550">
            <w:pPr>
              <w:pStyle w:val="ETFBulletlevel1"/>
              <w:numPr>
                <w:ilvl w:val="0"/>
                <w:numId w:val="0"/>
              </w:numPr>
              <w:ind w:left="357" w:hanging="357"/>
              <w:rPr>
                <w:i/>
              </w:rPr>
            </w:pPr>
            <w:r>
              <w:rPr>
                <w:i/>
              </w:rPr>
              <w:t xml:space="preserve">       </w:t>
            </w:r>
            <w:r w:rsidR="007109AD" w:rsidRPr="00836C15">
              <w:rPr>
                <w:i/>
              </w:rPr>
              <w:t xml:space="preserve">Coffee </w:t>
            </w:r>
            <w:r w:rsidR="007109AD">
              <w:rPr>
                <w:i/>
              </w:rPr>
              <w:t xml:space="preserve">&amp; tea </w:t>
            </w:r>
            <w:r w:rsidR="007109AD" w:rsidRPr="00836C15">
              <w:rPr>
                <w:i/>
              </w:rPr>
              <w:t>served in the room</w:t>
            </w:r>
          </w:p>
        </w:tc>
      </w:tr>
    </w:tbl>
    <w:p w14:paraId="473A6327" w14:textId="77777777" w:rsidR="00235934" w:rsidRDefault="00235934" w:rsidP="008634FD">
      <w:pPr>
        <w:pStyle w:val="BodyText"/>
        <w:rPr>
          <w:b/>
          <w:color w:val="66BED6" w:themeColor="accent2"/>
          <w:sz w:val="28"/>
          <w:szCs w:val="28"/>
        </w:rPr>
      </w:pPr>
    </w:p>
    <w:p w14:paraId="132EDF34" w14:textId="5D5CA303" w:rsidR="00B11BF5" w:rsidRDefault="00B11BF5" w:rsidP="008634FD">
      <w:pPr>
        <w:pStyle w:val="BodyText"/>
        <w:ind w:left="360"/>
        <w:rPr>
          <w:b/>
          <w:color w:val="66BED6" w:themeColor="accent2"/>
          <w:sz w:val="28"/>
          <w:szCs w:val="28"/>
        </w:rPr>
      </w:pPr>
      <w:r w:rsidRPr="00AF1F77">
        <w:rPr>
          <w:b/>
          <w:color w:val="66BED6" w:themeColor="accent2"/>
          <w:sz w:val="28"/>
          <w:szCs w:val="28"/>
        </w:rPr>
        <w:t xml:space="preserve">Day </w:t>
      </w:r>
      <w:r>
        <w:rPr>
          <w:b/>
          <w:color w:val="66BED6" w:themeColor="accent2"/>
          <w:sz w:val="28"/>
          <w:szCs w:val="28"/>
        </w:rPr>
        <w:t>two</w:t>
      </w:r>
      <w:r w:rsidRPr="00AF1F77">
        <w:rPr>
          <w:b/>
          <w:color w:val="66BED6" w:themeColor="accent2"/>
          <w:sz w:val="28"/>
          <w:szCs w:val="28"/>
        </w:rPr>
        <w:t xml:space="preserve">, </w:t>
      </w:r>
      <w:r w:rsidR="00836C15">
        <w:rPr>
          <w:b/>
          <w:color w:val="66BED6" w:themeColor="accent2"/>
          <w:sz w:val="28"/>
          <w:szCs w:val="28"/>
        </w:rPr>
        <w:t>31 May</w:t>
      </w:r>
      <w:r w:rsidR="00141B59">
        <w:rPr>
          <w:b/>
          <w:color w:val="66BED6" w:themeColor="accent2"/>
          <w:sz w:val="28"/>
          <w:szCs w:val="28"/>
        </w:rPr>
        <w:t xml:space="preserve"> </w:t>
      </w:r>
      <w:r w:rsidR="00836C15">
        <w:rPr>
          <w:b/>
          <w:color w:val="66BED6" w:themeColor="accent2"/>
          <w:sz w:val="28"/>
          <w:szCs w:val="28"/>
        </w:rPr>
        <w:t>2018</w:t>
      </w:r>
    </w:p>
    <w:p w14:paraId="79E18FF5" w14:textId="77777777" w:rsidR="00235934" w:rsidRPr="00AF1F77" w:rsidRDefault="00235934" w:rsidP="008634FD">
      <w:pPr>
        <w:pStyle w:val="BodyText"/>
        <w:ind w:left="360"/>
        <w:rPr>
          <w:b/>
          <w:color w:val="66BED6" w:themeColor="accent2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B11BF5" w14:paraId="132EDF37" w14:textId="77777777" w:rsidTr="00C77076">
        <w:tc>
          <w:tcPr>
            <w:tcW w:w="1951" w:type="dxa"/>
            <w:vAlign w:val="center"/>
          </w:tcPr>
          <w:p w14:paraId="132EDF35" w14:textId="403F3C70" w:rsidR="00B11BF5" w:rsidRPr="00177209" w:rsidRDefault="008634FD" w:rsidP="007109AD">
            <w:pPr>
              <w:pStyle w:val="ETFBodyText"/>
              <w:ind w:left="360"/>
            </w:pPr>
            <w:r>
              <w:t>0</w:t>
            </w:r>
            <w:r w:rsidR="007109AD">
              <w:t>8</w:t>
            </w:r>
            <w:r w:rsidR="00B11BF5">
              <w:t>:</w:t>
            </w:r>
            <w:r w:rsidR="00836C15">
              <w:t>3</w:t>
            </w:r>
            <w:r w:rsidR="00B11BF5">
              <w:t>0 – 1</w:t>
            </w:r>
            <w:r w:rsidR="007109AD">
              <w:t>0</w:t>
            </w:r>
            <w:r w:rsidR="00B11BF5">
              <w:t>:</w:t>
            </w:r>
            <w:r w:rsidR="0069091B">
              <w:t>3</w:t>
            </w:r>
            <w:r w:rsidR="00B11BF5">
              <w:t>0</w:t>
            </w:r>
          </w:p>
        </w:tc>
        <w:tc>
          <w:tcPr>
            <w:tcW w:w="7337" w:type="dxa"/>
            <w:vAlign w:val="center"/>
          </w:tcPr>
          <w:p w14:paraId="132EDF36" w14:textId="407E3BBB" w:rsidR="0069091B" w:rsidRPr="0069091B" w:rsidRDefault="00836C15" w:rsidP="007109AD">
            <w:pPr>
              <w:pStyle w:val="ETFBulletlevel1"/>
              <w:numPr>
                <w:ilvl w:val="0"/>
                <w:numId w:val="0"/>
              </w:numPr>
              <w:ind w:left="360"/>
            </w:pPr>
            <w:r>
              <w:t xml:space="preserve">Cont. - Working groups for </w:t>
            </w:r>
            <w:proofErr w:type="spellStart"/>
            <w:r>
              <w:t>drating</w:t>
            </w:r>
            <w:proofErr w:type="spellEnd"/>
            <w:r>
              <w:t>/revising the respective articles for includ</w:t>
            </w:r>
            <w:r w:rsidR="007109AD">
              <w:t>ing VNFIL provisions in the Adu</w:t>
            </w:r>
            <w:r>
              <w:t>l</w:t>
            </w:r>
            <w:r w:rsidR="007109AD">
              <w:t>t</w:t>
            </w:r>
            <w:r>
              <w:t xml:space="preserve"> Education Law </w:t>
            </w:r>
            <w:r w:rsidR="007109AD">
              <w:t>(Facilitation by AEC)</w:t>
            </w:r>
          </w:p>
        </w:tc>
      </w:tr>
      <w:tr w:rsidR="007109AD" w14:paraId="50BF4D4F" w14:textId="77777777" w:rsidTr="00C77076">
        <w:tc>
          <w:tcPr>
            <w:tcW w:w="1951" w:type="dxa"/>
            <w:vAlign w:val="center"/>
          </w:tcPr>
          <w:p w14:paraId="46F5A2E1" w14:textId="20EDAA84" w:rsidR="007109AD" w:rsidRDefault="007109AD" w:rsidP="007109AD">
            <w:pPr>
              <w:pStyle w:val="ETFBodyText"/>
              <w:ind w:left="360"/>
            </w:pPr>
            <w:r w:rsidRPr="00836C15">
              <w:rPr>
                <w:i/>
              </w:rPr>
              <w:t>1</w:t>
            </w:r>
            <w:r>
              <w:rPr>
                <w:i/>
              </w:rPr>
              <w:t>0</w:t>
            </w:r>
            <w:r w:rsidRPr="00836C15">
              <w:rPr>
                <w:i/>
              </w:rPr>
              <w:t>:</w:t>
            </w:r>
            <w:r>
              <w:rPr>
                <w:i/>
              </w:rPr>
              <w:t>3</w:t>
            </w:r>
            <w:r w:rsidRPr="00836C15">
              <w:rPr>
                <w:i/>
              </w:rPr>
              <w:t>0 – 11:</w:t>
            </w:r>
            <w:r>
              <w:rPr>
                <w:i/>
              </w:rPr>
              <w:t>00</w:t>
            </w:r>
            <w:r w:rsidRPr="00836C15">
              <w:rPr>
                <w:i/>
              </w:rPr>
              <w:t xml:space="preserve"> </w:t>
            </w:r>
          </w:p>
        </w:tc>
        <w:tc>
          <w:tcPr>
            <w:tcW w:w="7337" w:type="dxa"/>
            <w:vAlign w:val="center"/>
          </w:tcPr>
          <w:p w14:paraId="587662F6" w14:textId="6CCEFE63" w:rsidR="007109AD" w:rsidRDefault="007109AD" w:rsidP="007109AD">
            <w:pPr>
              <w:pStyle w:val="ETFBulletlevel1"/>
              <w:numPr>
                <w:ilvl w:val="0"/>
                <w:numId w:val="0"/>
              </w:numPr>
              <w:ind w:left="360"/>
            </w:pPr>
            <w:r w:rsidRPr="00836C15">
              <w:rPr>
                <w:i/>
              </w:rPr>
              <w:t>Coffee Break</w:t>
            </w:r>
          </w:p>
        </w:tc>
      </w:tr>
      <w:tr w:rsidR="007109AD" w14:paraId="7E2708FE" w14:textId="77777777" w:rsidTr="00C77076">
        <w:tc>
          <w:tcPr>
            <w:tcW w:w="1951" w:type="dxa"/>
            <w:vAlign w:val="center"/>
          </w:tcPr>
          <w:p w14:paraId="04649645" w14:textId="2101CFAC" w:rsidR="007109AD" w:rsidRDefault="007109AD" w:rsidP="007109AD">
            <w:pPr>
              <w:pStyle w:val="ETFBodyText"/>
              <w:ind w:left="360"/>
            </w:pPr>
            <w:r>
              <w:t>11:00 – 12:30</w:t>
            </w:r>
          </w:p>
        </w:tc>
        <w:tc>
          <w:tcPr>
            <w:tcW w:w="7337" w:type="dxa"/>
            <w:vAlign w:val="center"/>
          </w:tcPr>
          <w:p w14:paraId="21E58B8B" w14:textId="072F1B23" w:rsidR="007109AD" w:rsidRPr="008D6013" w:rsidRDefault="007109AD" w:rsidP="007109AD">
            <w:pPr>
              <w:pStyle w:val="ETFBulletlevel1"/>
              <w:numPr>
                <w:ilvl w:val="0"/>
                <w:numId w:val="0"/>
              </w:numPr>
              <w:ind w:left="360"/>
            </w:pPr>
            <w:r>
              <w:t xml:space="preserve">Cont. - Working groups for </w:t>
            </w:r>
            <w:proofErr w:type="spellStart"/>
            <w:r>
              <w:t>drating</w:t>
            </w:r>
            <w:proofErr w:type="spellEnd"/>
            <w:r>
              <w:t>/revising the respective articles for including VNFIL provisions in the Adult Education Law (Facilitation by AEC)</w:t>
            </w:r>
          </w:p>
        </w:tc>
      </w:tr>
      <w:tr w:rsidR="00B11BF5" w14:paraId="132EDF40" w14:textId="77777777" w:rsidTr="00C77076">
        <w:tc>
          <w:tcPr>
            <w:tcW w:w="1951" w:type="dxa"/>
            <w:vAlign w:val="center"/>
          </w:tcPr>
          <w:p w14:paraId="132EDF3E" w14:textId="0E536CD0" w:rsidR="00B11BF5" w:rsidRPr="00177209" w:rsidRDefault="00B11BF5" w:rsidP="007109AD">
            <w:pPr>
              <w:pStyle w:val="ETFBodyText"/>
              <w:ind w:left="360"/>
            </w:pPr>
            <w:r>
              <w:t>1</w:t>
            </w:r>
            <w:r w:rsidR="00836C15">
              <w:t>2</w:t>
            </w:r>
            <w:r>
              <w:t>:</w:t>
            </w:r>
            <w:r w:rsidR="00836C15">
              <w:t>3</w:t>
            </w:r>
            <w:r>
              <w:t>0 – 1</w:t>
            </w:r>
            <w:r w:rsidR="007109AD">
              <w:t>3</w:t>
            </w:r>
            <w:r>
              <w:t>:</w:t>
            </w:r>
            <w:r w:rsidR="007109AD">
              <w:t>3</w:t>
            </w:r>
            <w:r>
              <w:t>0</w:t>
            </w:r>
          </w:p>
        </w:tc>
        <w:tc>
          <w:tcPr>
            <w:tcW w:w="7337" w:type="dxa"/>
            <w:vAlign w:val="center"/>
          </w:tcPr>
          <w:p w14:paraId="132EDF3F" w14:textId="77777777" w:rsidR="00B11BF5" w:rsidRPr="008D6013" w:rsidRDefault="00B11BF5" w:rsidP="008634FD">
            <w:pPr>
              <w:pStyle w:val="ETFBulletlevel1"/>
              <w:numPr>
                <w:ilvl w:val="0"/>
                <w:numId w:val="0"/>
              </w:numPr>
              <w:ind w:left="360"/>
            </w:pPr>
            <w:r w:rsidRPr="008D6013">
              <w:t xml:space="preserve">Lunch </w:t>
            </w:r>
          </w:p>
        </w:tc>
      </w:tr>
      <w:tr w:rsidR="00836C15" w14:paraId="0C800E03" w14:textId="77777777" w:rsidTr="00C77076">
        <w:tc>
          <w:tcPr>
            <w:tcW w:w="1951" w:type="dxa"/>
            <w:vAlign w:val="center"/>
          </w:tcPr>
          <w:p w14:paraId="30AAF1C8" w14:textId="355671BF" w:rsidR="00836C15" w:rsidRDefault="007109AD" w:rsidP="007109AD">
            <w:pPr>
              <w:pStyle w:val="ETFBodyText"/>
              <w:ind w:left="360"/>
            </w:pPr>
            <w:r>
              <w:t>13</w:t>
            </w:r>
            <w:r w:rsidR="00235934">
              <w:t>:</w:t>
            </w:r>
            <w:r>
              <w:t>3</w:t>
            </w:r>
            <w:r w:rsidR="00836C15">
              <w:t>0 – 15</w:t>
            </w:r>
            <w:r w:rsidR="00235934">
              <w:t>:</w:t>
            </w:r>
            <w:r>
              <w:t>0</w:t>
            </w:r>
            <w:r w:rsidR="00836C15">
              <w:t xml:space="preserve">0 </w:t>
            </w:r>
          </w:p>
        </w:tc>
        <w:tc>
          <w:tcPr>
            <w:tcW w:w="7337" w:type="dxa"/>
            <w:vAlign w:val="center"/>
          </w:tcPr>
          <w:p w14:paraId="290A5588" w14:textId="75A62C36" w:rsidR="00836C15" w:rsidRPr="008D6013" w:rsidRDefault="00836C15" w:rsidP="008634FD">
            <w:pPr>
              <w:pStyle w:val="ETFBulletlevel1"/>
              <w:numPr>
                <w:ilvl w:val="0"/>
                <w:numId w:val="0"/>
              </w:numPr>
              <w:ind w:left="360"/>
            </w:pPr>
            <w:r>
              <w:t>Self-assessment exercise on VNFIL priority actions for the future</w:t>
            </w:r>
            <w:r w:rsidR="00235934">
              <w:t xml:space="preserve"> (ETF, Carmo Gomes)</w:t>
            </w:r>
          </w:p>
        </w:tc>
      </w:tr>
      <w:tr w:rsidR="00235934" w14:paraId="0129431D" w14:textId="77777777" w:rsidTr="00C77076">
        <w:tc>
          <w:tcPr>
            <w:tcW w:w="1951" w:type="dxa"/>
            <w:vAlign w:val="center"/>
          </w:tcPr>
          <w:p w14:paraId="07DA8757" w14:textId="659E68D7" w:rsidR="00235934" w:rsidRDefault="007109AD" w:rsidP="00836C15">
            <w:pPr>
              <w:pStyle w:val="ETFBodyText"/>
              <w:ind w:left="360"/>
            </w:pPr>
            <w:r>
              <w:t>15:00 – 15:3</w:t>
            </w:r>
            <w:r w:rsidR="00235934">
              <w:t>0</w:t>
            </w:r>
          </w:p>
        </w:tc>
        <w:tc>
          <w:tcPr>
            <w:tcW w:w="7337" w:type="dxa"/>
            <w:vAlign w:val="center"/>
          </w:tcPr>
          <w:p w14:paraId="6586D86A" w14:textId="14F73CED" w:rsidR="00235934" w:rsidRPr="00235934" w:rsidRDefault="00235934" w:rsidP="00235934">
            <w:pPr>
              <w:pStyle w:val="ETFBulletlevel1"/>
              <w:numPr>
                <w:ilvl w:val="0"/>
                <w:numId w:val="0"/>
              </w:numPr>
              <w:ind w:left="360"/>
            </w:pPr>
            <w:r>
              <w:t>Identification and agreement on Priority Interventions (ETF, Carmo Gomes)</w:t>
            </w:r>
          </w:p>
        </w:tc>
      </w:tr>
      <w:tr w:rsidR="00235934" w14:paraId="6B01F225" w14:textId="77777777" w:rsidTr="00C77076">
        <w:tc>
          <w:tcPr>
            <w:tcW w:w="1951" w:type="dxa"/>
            <w:vAlign w:val="center"/>
          </w:tcPr>
          <w:p w14:paraId="58180E78" w14:textId="37515CB5" w:rsidR="00235934" w:rsidRDefault="007109AD" w:rsidP="00836C15">
            <w:pPr>
              <w:pStyle w:val="ETFBodyText"/>
              <w:ind w:left="360"/>
            </w:pPr>
            <w:r>
              <w:t>15:30 – 16</w:t>
            </w:r>
            <w:r w:rsidR="00235934">
              <w:t>:00</w:t>
            </w:r>
          </w:p>
        </w:tc>
        <w:tc>
          <w:tcPr>
            <w:tcW w:w="7337" w:type="dxa"/>
            <w:vAlign w:val="center"/>
          </w:tcPr>
          <w:p w14:paraId="2DEFFE77" w14:textId="08C4E286" w:rsidR="00235934" w:rsidRDefault="005D0C07" w:rsidP="00235934">
            <w:pPr>
              <w:pStyle w:val="ETFBulletlevel1"/>
              <w:numPr>
                <w:ilvl w:val="0"/>
                <w:numId w:val="0"/>
              </w:numPr>
              <w:ind w:left="360"/>
            </w:pPr>
            <w:r>
              <w:t>Closing session and next steps</w:t>
            </w:r>
            <w:r w:rsidR="00235934">
              <w:t xml:space="preserve"> (ETF, AEC and </w:t>
            </w:r>
            <w:proofErr w:type="spellStart"/>
            <w:r w:rsidR="00235934">
              <w:t>MoE</w:t>
            </w:r>
            <w:proofErr w:type="spellEnd"/>
            <w:r w:rsidR="00235934">
              <w:t>)</w:t>
            </w:r>
          </w:p>
        </w:tc>
      </w:tr>
    </w:tbl>
    <w:p w14:paraId="132EDF42" w14:textId="77777777" w:rsidR="008A4A77" w:rsidRDefault="008A4A77" w:rsidP="005D0C07">
      <w:pPr>
        <w:pStyle w:val="BodyText"/>
      </w:pPr>
    </w:p>
    <w:sectPr w:rsidR="008A4A77" w:rsidSect="00EF606E">
      <w:footerReference w:type="default" r:id="rId12"/>
      <w:headerReference w:type="first" r:id="rId13"/>
      <w:footerReference w:type="first" r:id="rId14"/>
      <w:pgSz w:w="11906" w:h="16838"/>
      <w:pgMar w:top="1135" w:right="1274" w:bottom="2127" w:left="156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EDF45" w14:textId="77777777" w:rsidR="007109AD" w:rsidRDefault="007109AD" w:rsidP="0089222B">
      <w:r>
        <w:separator/>
      </w:r>
    </w:p>
  </w:endnote>
  <w:endnote w:type="continuationSeparator" w:id="0">
    <w:p w14:paraId="132EDF46" w14:textId="77777777" w:rsidR="007109AD" w:rsidRDefault="007109AD" w:rsidP="0089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EDF47" w14:textId="77777777" w:rsidR="007109AD" w:rsidRDefault="007109AD" w:rsidP="0089222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39" behindDoc="0" locked="0" layoutInCell="1" allowOverlap="1" wp14:anchorId="132EDF51" wp14:editId="132EDF52">
              <wp:simplePos x="0" y="0"/>
              <wp:positionH relativeFrom="page">
                <wp:posOffset>666115</wp:posOffset>
              </wp:positionH>
              <wp:positionV relativeFrom="paragraph">
                <wp:posOffset>-107950</wp:posOffset>
              </wp:positionV>
              <wp:extent cx="6497955" cy="431800"/>
              <wp:effectExtent l="0" t="0" r="0" b="6350"/>
              <wp:wrapNone/>
              <wp:docPr id="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7955" cy="431800"/>
                      </a:xfrm>
                      <a:prstGeom prst="roundRect">
                        <a:avLst>
                          <a:gd name="adj" fmla="val 38676"/>
                        </a:avLst>
                      </a:pr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100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0393BC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32EDF5F" w14:textId="77777777" w:rsidR="007109AD" w:rsidRPr="00DB5D6E" w:rsidRDefault="007109AD" w:rsidP="00DB5D6E"/>
                      </w:txbxContent>
                    </wps:txbx>
                    <wps:bodyPr rot="0" vert="horz" wrap="square" lIns="91440" tIns="45720" rIns="16200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32EDF51" id="AutoShape 4" o:spid="_x0000_s1026" style="position:absolute;left:0;text-align:left;margin-left:52.45pt;margin-top:-8.5pt;width:511.65pt;height:34pt;z-index:251654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253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" fillcolor="#0092bb [3204]" stroked="f" strokecolor="#0393bc" strokeweight="3pt">
              <v:fill color2="#66bed6 [3205]" rotate="t" angle="90" focus="100%" type="gradient"/>
              <v:shadow color="#336a7f [1608]" opacity=".5" offset="1pt"/>
              <v:textbox inset=",,4.5mm">
                <w:txbxContent>
                  <w:p w14:paraId="132EDF5F" w14:textId="77777777" w:rsidR="007109AD" w:rsidRPr="00DB5D6E" w:rsidRDefault="007109AD" w:rsidP="00DB5D6E"/>
                </w:txbxContent>
              </v:textbox>
              <w10:wrap anchorx="page"/>
            </v:round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114" behindDoc="0" locked="0" layoutInCell="1" allowOverlap="1" wp14:anchorId="132EDF53" wp14:editId="132EDF54">
              <wp:simplePos x="0" y="0"/>
              <wp:positionH relativeFrom="page">
                <wp:posOffset>666115</wp:posOffset>
              </wp:positionH>
              <wp:positionV relativeFrom="paragraph">
                <wp:posOffset>-107950</wp:posOffset>
              </wp:positionV>
              <wp:extent cx="6296660" cy="266700"/>
              <wp:effectExtent l="0" t="0" r="889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6660" cy="266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100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D28DC2" id="Rectangle 5" o:spid="_x0000_s1026" style="position:absolute;margin-left:52.45pt;margin-top:-8.5pt;width:495.8pt;height:21pt;z-index:2516531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" fillcolor="#0092bb [3204]" stroked="f">
              <v:fill color2="#66bed6 [3205]" rotate="t" angle="90" focus="100%" type="gradient"/>
              <w10:wrap anchorx="page"/>
            </v:rect>
          </w:pict>
        </mc:Fallback>
      </mc:AlternateContent>
    </w:r>
  </w:p>
  <w:p w14:paraId="132EDF48" w14:textId="77777777" w:rsidR="007109AD" w:rsidRDefault="007109AD" w:rsidP="0089222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32EDF55" wp14:editId="132EDF56">
          <wp:simplePos x="0" y="0"/>
          <wp:positionH relativeFrom="page">
            <wp:posOffset>1149350</wp:posOffset>
          </wp:positionH>
          <wp:positionV relativeFrom="paragraph">
            <wp:posOffset>-241300</wp:posOffset>
          </wp:positionV>
          <wp:extent cx="844550" cy="368300"/>
          <wp:effectExtent l="19050" t="0" r="0" b="0"/>
          <wp:wrapNone/>
          <wp:docPr id="7" name="Picture 1" descr="C:\Users\Article10\Documents\ETF\Whit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icle10\Documents\ETF\White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EDF50" w14:textId="77777777" w:rsidR="007109AD" w:rsidRDefault="007109AD" w:rsidP="0089222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32EDF5B" wp14:editId="132EDF5C">
              <wp:simplePos x="0" y="0"/>
              <wp:positionH relativeFrom="column">
                <wp:posOffset>2768600</wp:posOffset>
              </wp:positionH>
              <wp:positionV relativeFrom="paragraph">
                <wp:posOffset>-797560</wp:posOffset>
              </wp:positionV>
              <wp:extent cx="3206750" cy="389890"/>
              <wp:effectExtent l="0" t="254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0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EDF62" w14:textId="77777777" w:rsidR="007109AD" w:rsidRDefault="007109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EDF5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218pt;margin-top:-62.8pt;width:252.5pt;height:3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VXugIAAMA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" filled="f" stroked="f">
              <v:textbox>
                <w:txbxContent>
                  <w:p w14:paraId="132EDF62" w14:textId="77777777" w:rsidR="007109AD" w:rsidRDefault="007109AD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32EDF5D" wp14:editId="132EDF5E">
              <wp:simplePos x="0" y="0"/>
              <wp:positionH relativeFrom="column">
                <wp:posOffset>-522605</wp:posOffset>
              </wp:positionH>
              <wp:positionV relativeFrom="paragraph">
                <wp:posOffset>-269875</wp:posOffset>
              </wp:positionV>
              <wp:extent cx="6497955" cy="431800"/>
              <wp:effectExtent l="0" t="0" r="0" b="635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7955" cy="431800"/>
                        <a:chOff x="1049" y="15593"/>
                        <a:chExt cx="10233" cy="680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049" y="15593"/>
                          <a:ext cx="9976" cy="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1"/>
                      <wps:cNvSpPr>
                        <a:spLocks noChangeArrowheads="1"/>
                      </wps:cNvSpPr>
                      <wps:spPr bwMode="auto">
                        <a:xfrm>
                          <a:off x="1049" y="15593"/>
                          <a:ext cx="10233" cy="680"/>
                        </a:xfrm>
                        <a:prstGeom prst="roundRect">
                          <a:avLst>
                            <a:gd name="adj" fmla="val 38676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393B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259249" id="Group 7" o:spid="_x0000_s1026" style="position:absolute;margin-left:-41.15pt;margin-top:-21.25pt;width:511.65pt;height:34pt;z-index:251667456" coordorigin="1049,15593" coordsize="10233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">
              <v:rect id="Rectangle 3" o:spid="_x0000_s1027" style="position:absolute;left:1049;top:15593;width:997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gC8QA&#10;AADaAAAADwAAAGRycy9kb3ducmV2LnhtbESPzWrDMBCE74G+g9hCb4mcFgfjRjZuwdDc8tNDj4u1&#10;td1aKyOpiZunjwKBHIeZ+YZZl5MZxJGc7y0rWC4SEMSN1T23Cj4P9TwD4QOyxsEyKfgnD2XxMFtj&#10;ru2Jd3Tch1ZECPscFXQhjLmUvunIoF/YkTh639YZDFG6VmqHpwg3g3xOkpU02HNc6HCk946a3/2f&#10;UdD+hK9tmo7pxtV1tay2zfR2zpR6epyqVxCBpnAP39ofWsELXK/EGy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6oAvEAAAA2gAAAA8AAAAAAAAAAAAAAAAAmAIAAGRycy9k&#10;b3ducmV2LnhtbFBLBQYAAAAABAAEAPUAAACJAwAAAAA=&#10;" fillcolor="#0092bb [3204]" stroked="f">
                <v:fill color2="#66bed6 [3205]" rotate="t" angle="90" focus="100%" type="gradient"/>
              </v:rect>
              <v:roundrect id="AutoShape 1" o:spid="_x0000_s1028" style="position:absolute;left:1049;top:15593;width:10233;height:680;visibility:visible;mso-wrap-style:square;v-text-anchor:top" arcsize="253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sjsMA&#10;AADaAAAADwAAAGRycy9kb3ducmV2LnhtbESPwWrDMBBE74X+g9hAbrWcYkrjWglNIJBDL3F76W2R&#10;NpaxtXIt1XH+vioEchxm5g1TbWfXi4nG0HpWsMpyEMTam5YbBV+fh6dXECEiG+w9k4IrBdhuHh8q&#10;LI2/8ImmOjYiQTiUqMDGOJRSBm3JYcj8QJy8sx8dxiTHRpoRLwnuevmc5y/SYctpweJAe0u6q3+d&#10;gqP+nnans/6xffExN8NhXdTdWqnlYn5/AxFpjvfwrX00Cgr4v5Ju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ZsjsMAAADaAAAADwAAAAAAAAAAAAAAAACYAgAAZHJzL2Rv&#10;d25yZXYueG1sUEsFBgAAAAAEAAQA9QAAAIgDAAAAAA==&#10;" fillcolor="#0092bb [3204]" stroked="f" strokecolor="#0393bc" strokeweight="3pt">
                <v:fill color2="#66bed6 [3205]" rotate="t" angle="90" focus="100%" type="gradient"/>
                <v:shadow color="#336a7f [1608]" opacity=".5" offset="1pt"/>
              </v:round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EDF43" w14:textId="77777777" w:rsidR="007109AD" w:rsidRDefault="007109AD" w:rsidP="0089222B">
      <w:r>
        <w:separator/>
      </w:r>
    </w:p>
  </w:footnote>
  <w:footnote w:type="continuationSeparator" w:id="0">
    <w:p w14:paraId="132EDF44" w14:textId="77777777" w:rsidR="007109AD" w:rsidRDefault="007109AD" w:rsidP="0089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EDF49" w14:textId="77777777" w:rsidR="007109AD" w:rsidRPr="00E90AFD" w:rsidRDefault="007109AD" w:rsidP="000B4A74">
    <w:pPr>
      <w:pStyle w:val="Header"/>
      <w:ind w:left="6804"/>
      <w:rPr>
        <w:color w:val="0092BB" w:themeColor="accent1"/>
        <w:sz w:val="18"/>
        <w:szCs w:val="18"/>
        <w:lang w:val="it-IT"/>
      </w:rPr>
    </w:pPr>
    <w:r w:rsidRPr="00E90AFD">
      <w:rPr>
        <w:noProof/>
        <w:color w:val="0092BB" w:themeColor="accent1"/>
        <w:sz w:val="18"/>
        <w:szCs w:val="18"/>
        <w:lang w:eastAsia="en-GB"/>
      </w:rPr>
      <w:drawing>
        <wp:anchor distT="0" distB="540385" distL="114300" distR="114300" simplePos="0" relativeHeight="251659264" behindDoc="0" locked="0" layoutInCell="1" allowOverlap="1" wp14:anchorId="132EDF57" wp14:editId="132EDF58">
          <wp:simplePos x="0" y="0"/>
          <wp:positionH relativeFrom="page">
            <wp:posOffset>651510</wp:posOffset>
          </wp:positionH>
          <wp:positionV relativeFrom="page">
            <wp:posOffset>541655</wp:posOffset>
          </wp:positionV>
          <wp:extent cx="2133600" cy="932815"/>
          <wp:effectExtent l="0" t="0" r="0" b="635"/>
          <wp:wrapTopAndBottom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ticle10\Documents\ETF\Header 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932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0AFD">
      <w:rPr>
        <w:b/>
        <w:color w:val="0092BB" w:themeColor="accent1"/>
        <w:sz w:val="18"/>
        <w:szCs w:val="18"/>
        <w:lang w:val="it-IT"/>
      </w:rPr>
      <w:t>ADDRESS</w:t>
    </w:r>
    <w:r w:rsidRPr="00E90AFD">
      <w:rPr>
        <w:color w:val="0092BB" w:themeColor="accent1"/>
        <w:sz w:val="18"/>
        <w:szCs w:val="18"/>
        <w:lang w:val="it-IT"/>
      </w:rPr>
      <w:t xml:space="preserve"> Villa </w:t>
    </w:r>
    <w:proofErr w:type="spellStart"/>
    <w:r w:rsidRPr="00E90AFD">
      <w:rPr>
        <w:color w:val="0092BB" w:themeColor="accent1"/>
        <w:sz w:val="18"/>
        <w:szCs w:val="18"/>
        <w:lang w:val="it-IT"/>
      </w:rPr>
      <w:t>Gualino</w:t>
    </w:r>
    <w:proofErr w:type="spellEnd"/>
    <w:r w:rsidRPr="00E90AFD">
      <w:rPr>
        <w:color w:val="0092BB" w:themeColor="accent1"/>
        <w:sz w:val="18"/>
        <w:szCs w:val="18"/>
        <w:lang w:val="it-IT"/>
      </w:rPr>
      <w:t>,</w:t>
    </w:r>
  </w:p>
  <w:p w14:paraId="132EDF4A" w14:textId="77777777" w:rsidR="007109AD" w:rsidRPr="00E90AFD" w:rsidRDefault="007109AD" w:rsidP="000B4A74">
    <w:pPr>
      <w:pStyle w:val="Header"/>
      <w:ind w:left="6804"/>
      <w:rPr>
        <w:color w:val="0092BB" w:themeColor="accent1"/>
        <w:sz w:val="18"/>
        <w:szCs w:val="18"/>
        <w:lang w:val="it-IT"/>
      </w:rPr>
    </w:pPr>
    <w:r w:rsidRPr="00E90AFD">
      <w:rPr>
        <w:color w:val="0092BB" w:themeColor="accent1"/>
        <w:sz w:val="18"/>
        <w:szCs w:val="18"/>
        <w:lang w:val="it-IT"/>
      </w:rPr>
      <w:t>Viale Settimio Severo 65,</w:t>
    </w:r>
  </w:p>
  <w:p w14:paraId="132EDF4B" w14:textId="77777777" w:rsidR="007109AD" w:rsidRPr="00E90AFD" w:rsidRDefault="007109AD" w:rsidP="000B4A74">
    <w:pPr>
      <w:pStyle w:val="Header"/>
      <w:ind w:left="6804"/>
      <w:rPr>
        <w:color w:val="0092BB" w:themeColor="accent1"/>
        <w:sz w:val="18"/>
        <w:szCs w:val="18"/>
        <w:lang w:val="it-IT"/>
      </w:rPr>
    </w:pPr>
    <w:r w:rsidRPr="00E90AFD">
      <w:rPr>
        <w:color w:val="0092BB" w:themeColor="accent1"/>
        <w:sz w:val="18"/>
        <w:szCs w:val="18"/>
        <w:lang w:val="it-IT"/>
      </w:rPr>
      <w:t xml:space="preserve">I - 10133 Torino, </w:t>
    </w:r>
    <w:proofErr w:type="spellStart"/>
    <w:r w:rsidRPr="00E90AFD">
      <w:rPr>
        <w:color w:val="0092BB" w:themeColor="accent1"/>
        <w:sz w:val="18"/>
        <w:szCs w:val="18"/>
        <w:lang w:val="it-IT"/>
      </w:rPr>
      <w:t>Italy</w:t>
    </w:r>
    <w:proofErr w:type="spellEnd"/>
  </w:p>
  <w:p w14:paraId="132EDF4C" w14:textId="77777777" w:rsidR="007109AD" w:rsidRPr="00E90AFD" w:rsidRDefault="007109AD" w:rsidP="000B4A74">
    <w:pPr>
      <w:pStyle w:val="Header"/>
      <w:ind w:left="6804"/>
      <w:rPr>
        <w:color w:val="0092BB" w:themeColor="accent1"/>
        <w:sz w:val="18"/>
        <w:szCs w:val="18"/>
        <w:lang w:val="it-IT"/>
      </w:rPr>
    </w:pPr>
  </w:p>
  <w:p w14:paraId="132EDF4D" w14:textId="77777777" w:rsidR="007109AD" w:rsidRPr="00E90AFD" w:rsidRDefault="007109AD" w:rsidP="000B4A74">
    <w:pPr>
      <w:pStyle w:val="Header"/>
      <w:ind w:left="6804"/>
      <w:rPr>
        <w:color w:val="0092BB" w:themeColor="accent1"/>
        <w:sz w:val="18"/>
        <w:szCs w:val="18"/>
        <w:lang w:val="it-IT"/>
      </w:rPr>
    </w:pPr>
    <w:r w:rsidRPr="00E90AFD">
      <w:rPr>
        <w:b/>
        <w:color w:val="0092BB" w:themeColor="accent1"/>
        <w:sz w:val="18"/>
        <w:szCs w:val="18"/>
        <w:lang w:val="it-IT"/>
      </w:rPr>
      <w:t>TEL</w:t>
    </w:r>
    <w:r w:rsidRPr="00E90AFD">
      <w:rPr>
        <w:color w:val="0092BB" w:themeColor="accent1"/>
        <w:sz w:val="18"/>
        <w:szCs w:val="18"/>
        <w:lang w:val="it-IT"/>
      </w:rPr>
      <w:t xml:space="preserve"> +39 011 630 2222</w:t>
    </w:r>
  </w:p>
  <w:p w14:paraId="132EDF4E" w14:textId="77777777" w:rsidR="007109AD" w:rsidRPr="00E90AFD" w:rsidRDefault="007109AD" w:rsidP="000B4A74">
    <w:pPr>
      <w:pStyle w:val="Header"/>
      <w:ind w:left="6804"/>
      <w:rPr>
        <w:color w:val="0092BB" w:themeColor="accent1"/>
        <w:sz w:val="18"/>
        <w:szCs w:val="18"/>
        <w:lang w:val="it-IT"/>
      </w:rPr>
    </w:pPr>
    <w:r w:rsidRPr="00E90AFD">
      <w:rPr>
        <w:b/>
        <w:color w:val="0092BB" w:themeColor="accent1"/>
        <w:sz w:val="18"/>
        <w:szCs w:val="18"/>
        <w:lang w:val="it-IT"/>
      </w:rPr>
      <w:t>EMAIL</w:t>
    </w:r>
    <w:r w:rsidRPr="00E90AFD">
      <w:rPr>
        <w:color w:val="0092BB" w:themeColor="accent1"/>
        <w:sz w:val="18"/>
        <w:szCs w:val="18"/>
        <w:lang w:val="it-IT"/>
      </w:rPr>
      <w:t xml:space="preserve"> info@etf.europa.eu</w:t>
    </w:r>
  </w:p>
  <w:p w14:paraId="132EDF4F" w14:textId="77777777" w:rsidR="007109AD" w:rsidRPr="000B4A74" w:rsidRDefault="007109AD" w:rsidP="000B4A74">
    <w:pPr>
      <w:pStyle w:val="Header"/>
      <w:ind w:left="6804"/>
      <w:rPr>
        <w:color w:val="0092BB" w:themeColor="accent1"/>
        <w:sz w:val="18"/>
        <w:szCs w:val="18"/>
        <w:lang w:val="it-IT"/>
      </w:rPr>
    </w:pPr>
    <w:r>
      <w:rPr>
        <w:b/>
        <w:noProof/>
        <w:color w:val="0092BB" w:themeColor="accent1"/>
        <w:sz w:val="18"/>
        <w:szCs w:val="18"/>
        <w:lang w:eastAsia="en-GB"/>
      </w:rPr>
      <w:drawing>
        <wp:anchor distT="0" distB="0" distL="114300" distR="114300" simplePos="0" relativeHeight="251668480" behindDoc="0" locked="0" layoutInCell="1" allowOverlap="1" wp14:anchorId="132EDF59" wp14:editId="132EDF5A">
          <wp:simplePos x="0" y="0"/>
          <wp:positionH relativeFrom="page">
            <wp:posOffset>423309</wp:posOffset>
          </wp:positionH>
          <wp:positionV relativeFrom="page">
            <wp:posOffset>2054087</wp:posOffset>
          </wp:positionV>
          <wp:extent cx="6718937" cy="2848610"/>
          <wp:effectExtent l="19050" t="0" r="5713" b="0"/>
          <wp:wrapNone/>
          <wp:docPr id="1" name="Picture 1" descr="C:\Work\ETF\Design\Graphics\Me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ork\ETF\Design\Graphics\Mem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18937" cy="284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0AFD">
      <w:rPr>
        <w:b/>
        <w:color w:val="0092BB" w:themeColor="accent1"/>
        <w:sz w:val="18"/>
        <w:szCs w:val="18"/>
        <w:lang w:val="it-IT"/>
      </w:rPr>
      <w:t>WEB</w:t>
    </w:r>
    <w:r w:rsidRPr="00E90AFD">
      <w:rPr>
        <w:color w:val="0092BB" w:themeColor="accent1"/>
        <w:sz w:val="18"/>
        <w:szCs w:val="18"/>
        <w:lang w:val="it-IT"/>
      </w:rPr>
      <w:t xml:space="preserve"> www.etf.europa.eu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EE1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1E16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2CC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4069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CCE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66D3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A46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420F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D645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340EB8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66BED6" w:themeColor="accent2"/>
        <w:sz w:val="24"/>
      </w:rPr>
    </w:lvl>
  </w:abstractNum>
  <w:abstractNum w:abstractNumId="10" w15:restartNumberingAfterBreak="0">
    <w:nsid w:val="03CD6C0D"/>
    <w:multiLevelType w:val="hybridMultilevel"/>
    <w:tmpl w:val="D458F4EA"/>
    <w:lvl w:ilvl="0" w:tplc="9EE8B77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2C65A1"/>
    <w:multiLevelType w:val="hybridMultilevel"/>
    <w:tmpl w:val="3ED01C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9278FD"/>
    <w:multiLevelType w:val="hybridMultilevel"/>
    <w:tmpl w:val="75302A44"/>
    <w:lvl w:ilvl="0" w:tplc="A452663A">
      <w:start w:val="1"/>
      <w:numFmt w:val="bullet"/>
      <w:pStyle w:val="ETFBulletlevel1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C403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554F3"/>
    <w:multiLevelType w:val="hybridMultilevel"/>
    <w:tmpl w:val="8ADE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15A35"/>
    <w:multiLevelType w:val="hybridMultilevel"/>
    <w:tmpl w:val="D3261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D3CB5"/>
    <w:multiLevelType w:val="hybridMultilevel"/>
    <w:tmpl w:val="594E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E4899"/>
    <w:multiLevelType w:val="hybridMultilevel"/>
    <w:tmpl w:val="1DB4CDD4"/>
    <w:lvl w:ilvl="0" w:tplc="F9585B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BED6" w:themeColor="accent2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54E26"/>
    <w:multiLevelType w:val="hybridMultilevel"/>
    <w:tmpl w:val="24C61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325E83"/>
    <w:multiLevelType w:val="hybridMultilevel"/>
    <w:tmpl w:val="30E6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30F91"/>
    <w:multiLevelType w:val="hybridMultilevel"/>
    <w:tmpl w:val="07F8F1F2"/>
    <w:lvl w:ilvl="0" w:tplc="CF86E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8B3C01"/>
    <w:multiLevelType w:val="hybridMultilevel"/>
    <w:tmpl w:val="2AA6B0D0"/>
    <w:lvl w:ilvl="0" w:tplc="CE6EDA00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1D741A"/>
    <w:multiLevelType w:val="hybridMultilevel"/>
    <w:tmpl w:val="9D58E60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70FE1425"/>
    <w:multiLevelType w:val="hybridMultilevel"/>
    <w:tmpl w:val="A44A3626"/>
    <w:lvl w:ilvl="0" w:tplc="29D64A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9"/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14"/>
  </w:num>
  <w:num w:numId="21">
    <w:abstractNumId w:val="12"/>
  </w:num>
  <w:num w:numId="22">
    <w:abstractNumId w:val="10"/>
  </w:num>
  <w:num w:numId="23">
    <w:abstractNumId w:val="11"/>
  </w:num>
  <w:num w:numId="24">
    <w:abstractNumId w:val="21"/>
  </w:num>
  <w:num w:numId="25">
    <w:abstractNumId w:val="17"/>
  </w:num>
  <w:num w:numId="26">
    <w:abstractNumId w:val="13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43009" style="mso-position-horizontal:center;v-text-anchor:bottom" fillcolor="#0393bc" stroke="f" strokecolor="#0393bc">
      <v:fill color="#0393bc" color2="fill" o:opacity2="26214f" rotate="t" angle="-90" method="linear sigma" focus="100%" type="gradient"/>
      <v:stroke color="#0393bc" weight="3pt" on="f"/>
      <v:shadow type="perspective" color="none [1608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F5"/>
    <w:rsid w:val="00001D0F"/>
    <w:rsid w:val="000042F5"/>
    <w:rsid w:val="00026575"/>
    <w:rsid w:val="00034C11"/>
    <w:rsid w:val="00040787"/>
    <w:rsid w:val="0004341B"/>
    <w:rsid w:val="00050B89"/>
    <w:rsid w:val="00052E8B"/>
    <w:rsid w:val="000547D7"/>
    <w:rsid w:val="0007681B"/>
    <w:rsid w:val="0009004C"/>
    <w:rsid w:val="0009334B"/>
    <w:rsid w:val="00094769"/>
    <w:rsid w:val="000B2112"/>
    <w:rsid w:val="000B4A74"/>
    <w:rsid w:val="000C79E9"/>
    <w:rsid w:val="000E1890"/>
    <w:rsid w:val="001239FE"/>
    <w:rsid w:val="00127B57"/>
    <w:rsid w:val="0013658F"/>
    <w:rsid w:val="00141B59"/>
    <w:rsid w:val="00143F62"/>
    <w:rsid w:val="00145483"/>
    <w:rsid w:val="0015468E"/>
    <w:rsid w:val="00160121"/>
    <w:rsid w:val="00162576"/>
    <w:rsid w:val="00175E26"/>
    <w:rsid w:val="001760DB"/>
    <w:rsid w:val="0018519E"/>
    <w:rsid w:val="001853FD"/>
    <w:rsid w:val="001A2C75"/>
    <w:rsid w:val="001C0C37"/>
    <w:rsid w:val="001C6D53"/>
    <w:rsid w:val="001D787B"/>
    <w:rsid w:val="001E328F"/>
    <w:rsid w:val="001E58DB"/>
    <w:rsid w:val="001F3200"/>
    <w:rsid w:val="00202791"/>
    <w:rsid w:val="00210DDE"/>
    <w:rsid w:val="00222DCD"/>
    <w:rsid w:val="002241B3"/>
    <w:rsid w:val="00224B2A"/>
    <w:rsid w:val="00232CC4"/>
    <w:rsid w:val="00235934"/>
    <w:rsid w:val="00237EF9"/>
    <w:rsid w:val="0025182E"/>
    <w:rsid w:val="00273FED"/>
    <w:rsid w:val="002777A9"/>
    <w:rsid w:val="00286E4D"/>
    <w:rsid w:val="002A7743"/>
    <w:rsid w:val="002A7978"/>
    <w:rsid w:val="002B4E8D"/>
    <w:rsid w:val="002B5019"/>
    <w:rsid w:val="002B7285"/>
    <w:rsid w:val="002D327C"/>
    <w:rsid w:val="002D5B3F"/>
    <w:rsid w:val="002E3F12"/>
    <w:rsid w:val="002F0826"/>
    <w:rsid w:val="00303683"/>
    <w:rsid w:val="00305AD0"/>
    <w:rsid w:val="00305E02"/>
    <w:rsid w:val="00307DF8"/>
    <w:rsid w:val="00310F37"/>
    <w:rsid w:val="00322288"/>
    <w:rsid w:val="0032309D"/>
    <w:rsid w:val="003241C0"/>
    <w:rsid w:val="0032577B"/>
    <w:rsid w:val="003313AA"/>
    <w:rsid w:val="003376F1"/>
    <w:rsid w:val="00346FF9"/>
    <w:rsid w:val="003476C9"/>
    <w:rsid w:val="003706EB"/>
    <w:rsid w:val="00372ED9"/>
    <w:rsid w:val="00375900"/>
    <w:rsid w:val="003840D7"/>
    <w:rsid w:val="00384DFC"/>
    <w:rsid w:val="00385383"/>
    <w:rsid w:val="0039025F"/>
    <w:rsid w:val="003A23C3"/>
    <w:rsid w:val="003A659F"/>
    <w:rsid w:val="003B3EE8"/>
    <w:rsid w:val="003D7B0F"/>
    <w:rsid w:val="003E6DB7"/>
    <w:rsid w:val="003F2DEE"/>
    <w:rsid w:val="003F68C3"/>
    <w:rsid w:val="00447892"/>
    <w:rsid w:val="00455DC5"/>
    <w:rsid w:val="00470F22"/>
    <w:rsid w:val="00492A43"/>
    <w:rsid w:val="00496E83"/>
    <w:rsid w:val="004B1B7B"/>
    <w:rsid w:val="004C0BDE"/>
    <w:rsid w:val="004C1472"/>
    <w:rsid w:val="004C2551"/>
    <w:rsid w:val="004D2028"/>
    <w:rsid w:val="004D73F2"/>
    <w:rsid w:val="004E0EA3"/>
    <w:rsid w:val="004F7BD5"/>
    <w:rsid w:val="005136E3"/>
    <w:rsid w:val="00523390"/>
    <w:rsid w:val="005346EF"/>
    <w:rsid w:val="00536827"/>
    <w:rsid w:val="00537132"/>
    <w:rsid w:val="00537F6D"/>
    <w:rsid w:val="00542C57"/>
    <w:rsid w:val="00551227"/>
    <w:rsid w:val="005513EB"/>
    <w:rsid w:val="00551A66"/>
    <w:rsid w:val="0056786B"/>
    <w:rsid w:val="00572C45"/>
    <w:rsid w:val="00574008"/>
    <w:rsid w:val="005810A5"/>
    <w:rsid w:val="00596488"/>
    <w:rsid w:val="005A0A3A"/>
    <w:rsid w:val="005A616D"/>
    <w:rsid w:val="005B563C"/>
    <w:rsid w:val="005B69D1"/>
    <w:rsid w:val="005C5F8F"/>
    <w:rsid w:val="005D02B9"/>
    <w:rsid w:val="005D0C07"/>
    <w:rsid w:val="005D0ECE"/>
    <w:rsid w:val="005D79EA"/>
    <w:rsid w:val="005E1F67"/>
    <w:rsid w:val="005E23A1"/>
    <w:rsid w:val="005F0549"/>
    <w:rsid w:val="005F17BC"/>
    <w:rsid w:val="00612FEC"/>
    <w:rsid w:val="00620951"/>
    <w:rsid w:val="00624FF9"/>
    <w:rsid w:val="00640EC2"/>
    <w:rsid w:val="00653E70"/>
    <w:rsid w:val="0065490A"/>
    <w:rsid w:val="00664D56"/>
    <w:rsid w:val="00673851"/>
    <w:rsid w:val="00682893"/>
    <w:rsid w:val="006865F7"/>
    <w:rsid w:val="00687CA0"/>
    <w:rsid w:val="0069091B"/>
    <w:rsid w:val="00690BC2"/>
    <w:rsid w:val="00696223"/>
    <w:rsid w:val="006A5043"/>
    <w:rsid w:val="006B21CD"/>
    <w:rsid w:val="006B4120"/>
    <w:rsid w:val="006C57B0"/>
    <w:rsid w:val="006D34D9"/>
    <w:rsid w:val="006E10D9"/>
    <w:rsid w:val="006E18B9"/>
    <w:rsid w:val="00700D0F"/>
    <w:rsid w:val="00701442"/>
    <w:rsid w:val="007109AD"/>
    <w:rsid w:val="00731269"/>
    <w:rsid w:val="007344AD"/>
    <w:rsid w:val="00740B76"/>
    <w:rsid w:val="00742ADB"/>
    <w:rsid w:val="00742C4D"/>
    <w:rsid w:val="00754E6B"/>
    <w:rsid w:val="00756981"/>
    <w:rsid w:val="007607FF"/>
    <w:rsid w:val="00760E17"/>
    <w:rsid w:val="00767B51"/>
    <w:rsid w:val="0077204E"/>
    <w:rsid w:val="00777A2B"/>
    <w:rsid w:val="007913BB"/>
    <w:rsid w:val="0079461C"/>
    <w:rsid w:val="007A246D"/>
    <w:rsid w:val="007C59C3"/>
    <w:rsid w:val="007D176A"/>
    <w:rsid w:val="007D1F87"/>
    <w:rsid w:val="007F79A9"/>
    <w:rsid w:val="008033CE"/>
    <w:rsid w:val="00804E22"/>
    <w:rsid w:val="00836C15"/>
    <w:rsid w:val="00841F80"/>
    <w:rsid w:val="008420E2"/>
    <w:rsid w:val="008515C5"/>
    <w:rsid w:val="00852726"/>
    <w:rsid w:val="008529AE"/>
    <w:rsid w:val="00855D22"/>
    <w:rsid w:val="008634FD"/>
    <w:rsid w:val="0087055B"/>
    <w:rsid w:val="0087336F"/>
    <w:rsid w:val="008826DB"/>
    <w:rsid w:val="0089222B"/>
    <w:rsid w:val="008A21DE"/>
    <w:rsid w:val="008A35B8"/>
    <w:rsid w:val="008A4A77"/>
    <w:rsid w:val="008B5EBF"/>
    <w:rsid w:val="008C0B28"/>
    <w:rsid w:val="008D6013"/>
    <w:rsid w:val="008D69D0"/>
    <w:rsid w:val="008E7353"/>
    <w:rsid w:val="008E7E2C"/>
    <w:rsid w:val="00900E8E"/>
    <w:rsid w:val="0091161B"/>
    <w:rsid w:val="009143CA"/>
    <w:rsid w:val="0091588F"/>
    <w:rsid w:val="0092797E"/>
    <w:rsid w:val="009418D7"/>
    <w:rsid w:val="009601CC"/>
    <w:rsid w:val="00964316"/>
    <w:rsid w:val="00973D41"/>
    <w:rsid w:val="0097566B"/>
    <w:rsid w:val="0098315F"/>
    <w:rsid w:val="00984A41"/>
    <w:rsid w:val="00992B65"/>
    <w:rsid w:val="009A2BD8"/>
    <w:rsid w:val="009A3993"/>
    <w:rsid w:val="009C6528"/>
    <w:rsid w:val="009E3DA7"/>
    <w:rsid w:val="009F4DC0"/>
    <w:rsid w:val="00A02C70"/>
    <w:rsid w:val="00A11BF7"/>
    <w:rsid w:val="00A13093"/>
    <w:rsid w:val="00A13658"/>
    <w:rsid w:val="00A2430B"/>
    <w:rsid w:val="00A31CF9"/>
    <w:rsid w:val="00A34D4F"/>
    <w:rsid w:val="00A369D0"/>
    <w:rsid w:val="00A371D5"/>
    <w:rsid w:val="00A54F7B"/>
    <w:rsid w:val="00A603B6"/>
    <w:rsid w:val="00A62ADB"/>
    <w:rsid w:val="00A71308"/>
    <w:rsid w:val="00A72989"/>
    <w:rsid w:val="00A81259"/>
    <w:rsid w:val="00A872E5"/>
    <w:rsid w:val="00AA38CE"/>
    <w:rsid w:val="00AA5D17"/>
    <w:rsid w:val="00AA61AD"/>
    <w:rsid w:val="00AD02B3"/>
    <w:rsid w:val="00AD6421"/>
    <w:rsid w:val="00AF1F77"/>
    <w:rsid w:val="00B10964"/>
    <w:rsid w:val="00B11BF5"/>
    <w:rsid w:val="00B25EB4"/>
    <w:rsid w:val="00B27359"/>
    <w:rsid w:val="00B3301B"/>
    <w:rsid w:val="00B45532"/>
    <w:rsid w:val="00B5229B"/>
    <w:rsid w:val="00B57E2E"/>
    <w:rsid w:val="00B60C21"/>
    <w:rsid w:val="00B75E22"/>
    <w:rsid w:val="00B77D4B"/>
    <w:rsid w:val="00B83505"/>
    <w:rsid w:val="00B86BB7"/>
    <w:rsid w:val="00BA74D2"/>
    <w:rsid w:val="00BB66B1"/>
    <w:rsid w:val="00BB7C0B"/>
    <w:rsid w:val="00BC282D"/>
    <w:rsid w:val="00BC7E2C"/>
    <w:rsid w:val="00BE1B73"/>
    <w:rsid w:val="00BE3425"/>
    <w:rsid w:val="00BE4D7D"/>
    <w:rsid w:val="00BE4DE4"/>
    <w:rsid w:val="00BF01DE"/>
    <w:rsid w:val="00C07E48"/>
    <w:rsid w:val="00C10C14"/>
    <w:rsid w:val="00C12550"/>
    <w:rsid w:val="00C16527"/>
    <w:rsid w:val="00C176AC"/>
    <w:rsid w:val="00C30B41"/>
    <w:rsid w:val="00C36A3C"/>
    <w:rsid w:val="00C41F81"/>
    <w:rsid w:val="00C437BE"/>
    <w:rsid w:val="00C4410B"/>
    <w:rsid w:val="00C4471B"/>
    <w:rsid w:val="00C6464E"/>
    <w:rsid w:val="00C77076"/>
    <w:rsid w:val="00C95C1D"/>
    <w:rsid w:val="00CA1074"/>
    <w:rsid w:val="00CA7156"/>
    <w:rsid w:val="00CB30C3"/>
    <w:rsid w:val="00CB3B03"/>
    <w:rsid w:val="00CB67C8"/>
    <w:rsid w:val="00CC5952"/>
    <w:rsid w:val="00CD0200"/>
    <w:rsid w:val="00CE062F"/>
    <w:rsid w:val="00CE14B5"/>
    <w:rsid w:val="00CF1BCE"/>
    <w:rsid w:val="00D0380B"/>
    <w:rsid w:val="00D07091"/>
    <w:rsid w:val="00D107DE"/>
    <w:rsid w:val="00D14B8A"/>
    <w:rsid w:val="00D40724"/>
    <w:rsid w:val="00D4110D"/>
    <w:rsid w:val="00D556CD"/>
    <w:rsid w:val="00D55D3A"/>
    <w:rsid w:val="00D64BB7"/>
    <w:rsid w:val="00D70330"/>
    <w:rsid w:val="00D7358B"/>
    <w:rsid w:val="00D7597F"/>
    <w:rsid w:val="00D82B68"/>
    <w:rsid w:val="00D92995"/>
    <w:rsid w:val="00D940E2"/>
    <w:rsid w:val="00D953AB"/>
    <w:rsid w:val="00DB477F"/>
    <w:rsid w:val="00DB5D6E"/>
    <w:rsid w:val="00DB6F71"/>
    <w:rsid w:val="00DE3B05"/>
    <w:rsid w:val="00DF04FC"/>
    <w:rsid w:val="00E11004"/>
    <w:rsid w:val="00E20362"/>
    <w:rsid w:val="00E36268"/>
    <w:rsid w:val="00E405FE"/>
    <w:rsid w:val="00E44AC7"/>
    <w:rsid w:val="00E44B36"/>
    <w:rsid w:val="00E4720C"/>
    <w:rsid w:val="00E507C4"/>
    <w:rsid w:val="00E53BF6"/>
    <w:rsid w:val="00E6177A"/>
    <w:rsid w:val="00E812CA"/>
    <w:rsid w:val="00E872A1"/>
    <w:rsid w:val="00E8773A"/>
    <w:rsid w:val="00E90AFD"/>
    <w:rsid w:val="00E93977"/>
    <w:rsid w:val="00EA65AD"/>
    <w:rsid w:val="00ED5899"/>
    <w:rsid w:val="00ED67FD"/>
    <w:rsid w:val="00EE06C2"/>
    <w:rsid w:val="00EF162A"/>
    <w:rsid w:val="00EF2D3B"/>
    <w:rsid w:val="00EF4E32"/>
    <w:rsid w:val="00EF606E"/>
    <w:rsid w:val="00EF655B"/>
    <w:rsid w:val="00F0013D"/>
    <w:rsid w:val="00F04F9D"/>
    <w:rsid w:val="00F1229D"/>
    <w:rsid w:val="00F1280A"/>
    <w:rsid w:val="00F23826"/>
    <w:rsid w:val="00F25E90"/>
    <w:rsid w:val="00F26333"/>
    <w:rsid w:val="00F2795D"/>
    <w:rsid w:val="00F3508B"/>
    <w:rsid w:val="00F43143"/>
    <w:rsid w:val="00F55B5B"/>
    <w:rsid w:val="00F6108F"/>
    <w:rsid w:val="00F62A99"/>
    <w:rsid w:val="00F666F5"/>
    <w:rsid w:val="00F71E3B"/>
    <w:rsid w:val="00F82C33"/>
    <w:rsid w:val="00F905FC"/>
    <w:rsid w:val="00F90CA2"/>
    <w:rsid w:val="00F93A67"/>
    <w:rsid w:val="00F973CC"/>
    <w:rsid w:val="00F97DB2"/>
    <w:rsid w:val="00FA7F3C"/>
    <w:rsid w:val="00FB4B45"/>
    <w:rsid w:val="00FD6818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style="mso-position-horizontal:center;v-text-anchor:bottom" fillcolor="#0393bc" stroke="f" strokecolor="#0393bc">
      <v:fill color="#0393bc" color2="fill" o:opacity2="26214f" rotate="t" angle="-90" method="linear sigma" focus="100%" type="gradient"/>
      <v:stroke color="#0393bc" weight="3pt" on="f"/>
      <v:shadow type="perspective" color="none [1608]" opacity=".5" offset="1pt" offset2="-1pt"/>
    </o:shapedefaults>
    <o:shapelayout v:ext="edit">
      <o:idmap v:ext="edit" data="1"/>
    </o:shapelayout>
  </w:shapeDefaults>
  <w:decimalSymbol w:val="."/>
  <w:listSeparator w:val=","/>
  <w14:docId w14:val="132EDF00"/>
  <w15:docId w15:val="{E0AD3F1E-B670-4901-8855-D6592895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BF5"/>
    <w:pPr>
      <w:spacing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8B5EBF"/>
    <w:pPr>
      <w:keepNext/>
      <w:keepLines/>
      <w:spacing w:before="60" w:after="480"/>
      <w:outlineLvl w:val="0"/>
    </w:pPr>
    <w:rPr>
      <w:rFonts w:eastAsiaTheme="majorEastAsia" w:cstheme="majorBidi"/>
      <w:b/>
      <w:bCs/>
      <w:caps/>
      <w:color w:val="0092BB" w:themeColor="accent1"/>
      <w:spacing w:val="-40"/>
      <w:sz w:val="8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22B"/>
    <w:pPr>
      <w:keepNext/>
      <w:keepLines/>
      <w:spacing w:before="200"/>
      <w:outlineLvl w:val="1"/>
    </w:pPr>
    <w:rPr>
      <w:rFonts w:eastAsiaTheme="majorEastAsia" w:cstheme="majorBidi"/>
      <w:b/>
      <w:bCs/>
      <w:caps/>
      <w:color w:val="66BED6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E22"/>
    <w:pPr>
      <w:keepNext/>
      <w:keepLines/>
      <w:spacing w:after="0"/>
      <w:outlineLvl w:val="2"/>
    </w:pPr>
    <w:rPr>
      <w:rFonts w:eastAsiaTheme="majorEastAsia"/>
      <w:bCs/>
      <w:color w:val="0092B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5E22"/>
    <w:rPr>
      <w:rFonts w:ascii="Arial" w:eastAsiaTheme="majorEastAsia" w:hAnsi="Arial" w:cs="Arial"/>
      <w:bCs/>
      <w:color w:val="0092BB" w:themeColor="accent1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1A2C75"/>
    <w:pPr>
      <w:pBdr>
        <w:top w:val="single" w:sz="2" w:space="10" w:color="0092BB" w:themeColor="accent1" w:shadow="1" w:frame="1"/>
        <w:left w:val="single" w:sz="2" w:space="10" w:color="0092BB" w:themeColor="accent1" w:shadow="1" w:frame="1"/>
        <w:bottom w:val="single" w:sz="2" w:space="10" w:color="0092BB" w:themeColor="accent1" w:shadow="1" w:frame="1"/>
        <w:right w:val="single" w:sz="2" w:space="10" w:color="0092BB" w:themeColor="accent1" w:shadow="1" w:frame="1"/>
      </w:pBdr>
      <w:ind w:left="1152" w:right="1152"/>
    </w:pPr>
    <w:rPr>
      <w:rFonts w:eastAsiaTheme="minorEastAsia"/>
      <w:i/>
      <w:iCs/>
      <w:color w:val="0092BB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1853FD"/>
    <w:pPr>
      <w:spacing w:line="288" w:lineRule="auto"/>
    </w:pPr>
    <w:rPr>
      <w:color w:val="616264"/>
    </w:rPr>
  </w:style>
  <w:style w:type="character" w:customStyle="1" w:styleId="BodyTextChar">
    <w:name w:val="Body Text Char"/>
    <w:basedOn w:val="DefaultParagraphFont"/>
    <w:link w:val="BodyText"/>
    <w:uiPriority w:val="99"/>
    <w:rsid w:val="001853FD"/>
    <w:rPr>
      <w:rFonts w:ascii="Arial" w:hAnsi="Arial" w:cs="Arial"/>
      <w:color w:val="616264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B5EBF"/>
    <w:rPr>
      <w:rFonts w:ascii="Arial" w:eastAsiaTheme="majorEastAsia" w:hAnsi="Arial" w:cstheme="majorBidi"/>
      <w:b/>
      <w:bCs/>
      <w:caps/>
      <w:color w:val="0092BB" w:themeColor="accent1"/>
      <w:spacing w:val="-40"/>
      <w:sz w:val="8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222B"/>
    <w:rPr>
      <w:rFonts w:ascii="Arial" w:eastAsiaTheme="majorEastAsia" w:hAnsi="Arial" w:cstheme="majorBidi"/>
      <w:b/>
      <w:bCs/>
      <w:caps/>
      <w:color w:val="66BED6" w:themeColor="accent2"/>
      <w:sz w:val="28"/>
      <w:szCs w:val="26"/>
    </w:rPr>
  </w:style>
  <w:style w:type="paragraph" w:styleId="ListParagraph">
    <w:name w:val="List Paragraph"/>
    <w:basedOn w:val="Normal"/>
    <w:uiPriority w:val="34"/>
    <w:qFormat/>
    <w:rsid w:val="00175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E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F9"/>
    <w:rPr>
      <w:rFonts w:ascii="Tahoma" w:hAnsi="Tahoma" w:cs="Tahoma"/>
      <w:color w:val="616264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BD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7BD5"/>
    <w:rPr>
      <w:rFonts w:ascii="Arial" w:hAnsi="Arial" w:cs="Arial"/>
      <w:color w:val="61626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222B"/>
    <w:pPr>
      <w:spacing w:after="0"/>
      <w:jc w:val="right"/>
    </w:pPr>
    <w:rPr>
      <w:color w:val="FFFFFF" w:themeColor="background1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22B"/>
    <w:rPr>
      <w:rFonts w:ascii="Arial" w:hAnsi="Arial" w:cs="Arial"/>
      <w:color w:val="FFFFFF" w:themeColor="background1"/>
    </w:rPr>
  </w:style>
  <w:style w:type="table" w:styleId="TableGrid">
    <w:name w:val="Table Grid"/>
    <w:basedOn w:val="TableNormal"/>
    <w:uiPriority w:val="59"/>
    <w:rsid w:val="0038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basedOn w:val="DefaultParagraphFont"/>
    <w:link w:val="Tabletext"/>
    <w:rsid w:val="0009004C"/>
    <w:rPr>
      <w:rFonts w:ascii="Arial" w:hAnsi="Arial" w:cs="Arial"/>
      <w:color w:val="616264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09004C"/>
    <w:pPr>
      <w:spacing w:after="0"/>
      <w:jc w:val="center"/>
    </w:pPr>
    <w:rPr>
      <w:color w:val="616264"/>
    </w:rPr>
  </w:style>
  <w:style w:type="paragraph" w:customStyle="1" w:styleId="TableHeader">
    <w:name w:val="Table Header"/>
    <w:basedOn w:val="Tabletext"/>
    <w:link w:val="TableHeaderChar"/>
    <w:qFormat/>
    <w:rsid w:val="003F68C3"/>
    <w:rPr>
      <w:color w:val="FFFFFF" w:themeColor="background1"/>
      <w:sz w:val="22"/>
    </w:rPr>
  </w:style>
  <w:style w:type="paragraph" w:customStyle="1" w:styleId="Tablefirstcolumn">
    <w:name w:val="Table first column"/>
    <w:link w:val="TablefirstcolumnChar"/>
    <w:qFormat/>
    <w:rsid w:val="003F68C3"/>
    <w:pPr>
      <w:spacing w:after="0" w:line="240" w:lineRule="auto"/>
      <w:jc w:val="center"/>
    </w:pPr>
    <w:rPr>
      <w:rFonts w:ascii="Arial" w:hAnsi="Arial" w:cs="Arial"/>
      <w:color w:val="0393BC"/>
      <w:sz w:val="20"/>
      <w:szCs w:val="20"/>
    </w:rPr>
  </w:style>
  <w:style w:type="character" w:customStyle="1" w:styleId="TableHeaderChar">
    <w:name w:val="Table Header Char"/>
    <w:basedOn w:val="TabletextChar"/>
    <w:link w:val="TableHeader"/>
    <w:rsid w:val="003F68C3"/>
    <w:rPr>
      <w:rFonts w:ascii="Arial" w:hAnsi="Arial" w:cs="Arial"/>
      <w:color w:val="FFFFFF" w:themeColor="background1"/>
      <w:sz w:val="20"/>
      <w:szCs w:val="20"/>
    </w:rPr>
  </w:style>
  <w:style w:type="character" w:customStyle="1" w:styleId="TablefirstcolumnChar">
    <w:name w:val="Table first column Char"/>
    <w:basedOn w:val="TableHeaderChar"/>
    <w:link w:val="Tablefirstcolumn"/>
    <w:rsid w:val="003F68C3"/>
    <w:rPr>
      <w:rFonts w:ascii="Arial" w:hAnsi="Arial" w:cs="Arial"/>
      <w:color w:val="0393BC"/>
      <w:sz w:val="20"/>
      <w:szCs w:val="20"/>
    </w:rPr>
  </w:style>
  <w:style w:type="paragraph" w:styleId="ListNumber">
    <w:name w:val="List Number"/>
    <w:basedOn w:val="Normal"/>
    <w:uiPriority w:val="99"/>
    <w:unhideWhenUsed/>
    <w:rsid w:val="00551227"/>
    <w:pPr>
      <w:numPr>
        <w:numId w:val="13"/>
      </w:numPr>
      <w:tabs>
        <w:tab w:val="clear" w:pos="360"/>
        <w:tab w:val="num" w:pos="426"/>
      </w:tabs>
      <w:ind w:left="426" w:hanging="426"/>
      <w:contextualSpacing/>
    </w:pPr>
    <w:rPr>
      <w:color w:val="939598"/>
    </w:rPr>
  </w:style>
  <w:style w:type="table" w:customStyle="1" w:styleId="ETFTable">
    <w:name w:val="ETF Table"/>
    <w:basedOn w:val="TableNormal"/>
    <w:uiPriority w:val="99"/>
    <w:qFormat/>
    <w:rsid w:val="00542C57"/>
    <w:pPr>
      <w:spacing w:after="0" w:line="240" w:lineRule="auto"/>
      <w:jc w:val="center"/>
    </w:pPr>
    <w:rPr>
      <w:rFonts w:ascii="Arial" w:hAnsi="Arial"/>
      <w:color w:val="616264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/>
      <w:vAlign w:val="center"/>
    </w:tcPr>
    <w:tblStylePr w:type="firstRow">
      <w:rPr>
        <w:rFonts w:ascii="Arial" w:hAnsi="Arial"/>
        <w:b w:val="0"/>
        <w:i w:val="0"/>
        <w:color w:val="FEFEFE"/>
        <w:sz w:val="22"/>
      </w:rPr>
      <w:tblPr/>
      <w:tcPr>
        <w:shd w:val="clear" w:color="auto" w:fill="0092BB" w:themeFill="accent1"/>
      </w:tcPr>
    </w:tblStylePr>
    <w:tblStylePr w:type="firstCol">
      <w:rPr>
        <w:color w:val="0092BB" w:themeColor="accent1"/>
      </w:rPr>
      <w:tblPr/>
      <w:tcPr>
        <w:shd w:val="clear" w:color="auto" w:fill="C9C9C9"/>
      </w:tcPr>
    </w:tblStylePr>
  </w:style>
  <w:style w:type="character" w:styleId="Hyperlink">
    <w:name w:val="Hyperlink"/>
    <w:basedOn w:val="DefaultParagraphFont"/>
    <w:uiPriority w:val="99"/>
    <w:unhideWhenUsed/>
    <w:rsid w:val="00DB5D6E"/>
    <w:rPr>
      <w:color w:val="0000FF" w:themeColor="hyperlink"/>
      <w:u w:val="single"/>
    </w:rPr>
  </w:style>
  <w:style w:type="paragraph" w:styleId="ListNumber2">
    <w:name w:val="List Number 2"/>
    <w:basedOn w:val="Normal"/>
    <w:uiPriority w:val="99"/>
    <w:semiHidden/>
    <w:unhideWhenUsed/>
    <w:rsid w:val="00551227"/>
    <w:pPr>
      <w:numPr>
        <w:numId w:val="14"/>
      </w:numPr>
      <w:contextualSpacing/>
    </w:pPr>
    <w:rPr>
      <w:color w:val="939598"/>
    </w:rPr>
  </w:style>
  <w:style w:type="paragraph" w:styleId="ListBullet2">
    <w:name w:val="List Bullet 2"/>
    <w:basedOn w:val="Normal"/>
    <w:uiPriority w:val="99"/>
    <w:semiHidden/>
    <w:unhideWhenUsed/>
    <w:rsid w:val="00551227"/>
    <w:pPr>
      <w:numPr>
        <w:numId w:val="9"/>
      </w:numPr>
      <w:contextualSpacing/>
    </w:pPr>
    <w:rPr>
      <w:color w:val="6D6E71"/>
    </w:rPr>
  </w:style>
  <w:style w:type="paragraph" w:customStyle="1" w:styleId="ETFBodyText">
    <w:name w:val="ETF Body Text"/>
    <w:basedOn w:val="Normal"/>
    <w:link w:val="ETFBodyTextChar"/>
    <w:autoRedefine/>
    <w:rsid w:val="008634FD"/>
    <w:pPr>
      <w:spacing w:before="60" w:after="60"/>
      <w:ind w:left="34"/>
    </w:pPr>
    <w:rPr>
      <w:rFonts w:eastAsia="Times New Roman" w:cs="Times New Roman"/>
      <w:szCs w:val="16"/>
      <w:lang w:eastAsia="ru-RU"/>
    </w:rPr>
  </w:style>
  <w:style w:type="paragraph" w:customStyle="1" w:styleId="ETFBulletlevel1">
    <w:name w:val="ETF Bullet level 1"/>
    <w:basedOn w:val="ETFBodyText"/>
    <w:next w:val="ETFBodyText"/>
    <w:link w:val="ETFBulletlevel1Char"/>
    <w:rsid w:val="00CA1074"/>
    <w:pPr>
      <w:numPr>
        <w:numId w:val="21"/>
      </w:numPr>
      <w:spacing w:after="140" w:line="259" w:lineRule="auto"/>
    </w:pPr>
  </w:style>
  <w:style w:type="character" w:customStyle="1" w:styleId="ETFBodyTextChar">
    <w:name w:val="ETF Body Text Char"/>
    <w:link w:val="ETFBodyText"/>
    <w:rsid w:val="008634FD"/>
    <w:rPr>
      <w:rFonts w:ascii="Arial" w:eastAsia="Times New Roman" w:hAnsi="Arial" w:cs="Times New Roman"/>
      <w:sz w:val="20"/>
      <w:szCs w:val="16"/>
      <w:lang w:eastAsia="ru-RU"/>
    </w:rPr>
  </w:style>
  <w:style w:type="character" w:customStyle="1" w:styleId="ETFBulletlevel1Char">
    <w:name w:val="ETF Bullet level 1 Char"/>
    <w:link w:val="ETFBulletlevel1"/>
    <w:rsid w:val="00CA1074"/>
    <w:rPr>
      <w:rFonts w:ascii="Arial" w:eastAsia="Times New Roman" w:hAnsi="Arial" w:cs="Times New Roman"/>
      <w:sz w:val="20"/>
      <w:szCs w:val="16"/>
      <w:lang w:eastAsia="ru-RU"/>
    </w:rPr>
  </w:style>
  <w:style w:type="character" w:customStyle="1" w:styleId="hps">
    <w:name w:val="hps"/>
    <w:basedOn w:val="DefaultParagraphFont"/>
    <w:rsid w:val="00C77076"/>
  </w:style>
  <w:style w:type="paragraph" w:styleId="Title">
    <w:name w:val="Title"/>
    <w:basedOn w:val="Normal"/>
    <w:next w:val="Normal"/>
    <w:link w:val="TitleChar"/>
    <w:uiPriority w:val="10"/>
    <w:qFormat/>
    <w:rsid w:val="00303683"/>
    <w:pPr>
      <w:pBdr>
        <w:bottom w:val="single" w:sz="8" w:space="4" w:color="0092BB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3036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5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E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EB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EB4"/>
    <w:rPr>
      <w:rFonts w:ascii="Arial" w:hAnsi="Arial" w:cs="Arial"/>
      <w:b/>
      <w:bCs/>
      <w:sz w:val="20"/>
      <w:szCs w:val="20"/>
    </w:rPr>
  </w:style>
  <w:style w:type="paragraph" w:customStyle="1" w:styleId="Norml">
    <w:name w:val="Normál"/>
    <w:basedOn w:val="Normal"/>
    <w:next w:val="Normal"/>
    <w:uiPriority w:val="99"/>
    <w:rsid w:val="006C57B0"/>
    <w:pPr>
      <w:autoSpaceDE w:val="0"/>
      <w:autoSpaceDN w:val="0"/>
      <w:adjustRightInd w:val="0"/>
      <w:spacing w:after="0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ontroller\etftemplates$\ETF%20Templates\ETF%20Agenda.dotx" TargetMode="External"/></Relationships>
</file>

<file path=word/theme/theme1.xml><?xml version="1.0" encoding="utf-8"?>
<a:theme xmlns:a="http://schemas.openxmlformats.org/drawingml/2006/main" name="Office Theme">
  <a:themeElements>
    <a:clrScheme name="ETF Palet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2BB"/>
      </a:accent1>
      <a:accent2>
        <a:srgbClr val="66BED6"/>
      </a:accent2>
      <a:accent3>
        <a:srgbClr val="DC006B"/>
      </a:accent3>
      <a:accent4>
        <a:srgbClr val="0092BB"/>
      </a:accent4>
      <a:accent5>
        <a:srgbClr val="94C2D4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ent-Meeting Document" ma:contentTypeID="0x01010018C77CAB493C4CC28C851D171ACDEB5D00596B2BA2685E0A45A241E5F16505E5C500E7ACB01FCAFE3B4FAF4542484D921456" ma:contentTypeVersion="22" ma:contentTypeDescription="" ma:contentTypeScope="" ma:versionID="187c557672fdb29590166087a36acddb">
  <xsd:schema xmlns:xsd="http://www.w3.org/2001/XMLSchema" xmlns:xs="http://www.w3.org/2001/XMLSchema" xmlns:p="http://schemas.microsoft.com/office/2006/metadata/properties" xmlns:ns1="df6b2545-d15d-4d63-86ca-644416e434f8" xmlns:ns2="bc3c4bbb-6da8-4c98-8c13-a85c6b75e98e" targetNamespace="http://schemas.microsoft.com/office/2006/metadata/properties" ma:root="true" ma:fieldsID="e4c9166474693185885494972017cf77" ns1:_="" ns2:_="">
    <xsd:import namespace="df6b2545-d15d-4d63-86ca-644416e434f8"/>
    <xsd:import namespace="bc3c4bbb-6da8-4c98-8c13-a85c6b75e98e"/>
    <xsd:element name="properties">
      <xsd:complexType>
        <xsd:sequence>
          <xsd:element name="documentManagement">
            <xsd:complexType>
              <xsd:all>
                <xsd:element ref="ns1:Event_x0020_Meeting_x0020_Document_x0020_Type"/>
                <xsd:element ref="ns2:OperationsSubArea"/>
                <xsd:element ref="ns2:ReferenceYear"/>
                <xsd:element ref="ns2:Authors" minOccurs="0"/>
                <xsd:element ref="ns2:ETFLanguage" minOccurs="0"/>
                <xsd:element ref="ns2:ReferenceNumber" minOccurs="0"/>
                <xsd:element ref="ns2:Qualifications_x0020_Keywords" minOccurs="0"/>
                <xsd:element ref="ns1:Countries" minOccurs="0"/>
                <xsd:element ref="ns1:Regions" minOccurs="0"/>
                <xsd:element ref="ns2:Origin" minOccurs="0"/>
                <xsd:element ref="ns1:General_x0020_Keywords" minOccurs="0"/>
                <xsd:element ref="ns2:Status" minOccurs="0"/>
                <xsd:element ref="ns1:PA_QUAL" minOccurs="0"/>
                <xsd:element ref="ns1:_dlc_DocId" minOccurs="0"/>
                <xsd:element ref="ns1:_dlc_DocIdUrl" minOccurs="0"/>
                <xsd:element ref="ns1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2545-d15d-4d63-86ca-644416e434f8" elementFormDefault="qualified">
    <xsd:import namespace="http://schemas.microsoft.com/office/2006/documentManagement/types"/>
    <xsd:import namespace="http://schemas.microsoft.com/office/infopath/2007/PartnerControls"/>
    <xsd:element name="Event_x0020_Meeting_x0020_Document_x0020_Type" ma:index="0" ma:displayName="Event-Meeting Document Type" ma:format="Dropdown" ma:internalName="Event_x0020_Meeting_x0020_Document_x0020_Type" ma:readOnly="false">
      <xsd:simpleType>
        <xsd:restriction base="dms:Choice">
          <xsd:enumeration value="Agenda"/>
          <xsd:enumeration value="Article"/>
          <xsd:enumeration value="Background note"/>
          <xsd:enumeration value="Briefing for speakers"/>
          <xsd:enumeration value="Budget"/>
          <xsd:enumeration value="Concept note"/>
          <xsd:enumeration value="Event assessment"/>
          <xsd:enumeration value="Event profile"/>
          <xsd:enumeration value="Feedback report"/>
          <xsd:enumeration value="Final report"/>
          <xsd:enumeration value="Invitation"/>
          <xsd:enumeration value="Paper"/>
          <xsd:enumeration value="Participants List"/>
          <xsd:enumeration value="Presentation"/>
          <xsd:enumeration value="Press release"/>
          <xsd:enumeration value="Speech"/>
        </xsd:restriction>
      </xsd:simpleType>
    </xsd:element>
    <xsd:element name="Countries" ma:index="9" nillable="true" ma:displayName="Countries" ma:list="{9194351c-4b7d-432a-9a74-6cfaf37d5a5a}" ma:internalName="Countries0" ma:readOnly="false" ma:showField="Title" ma:web="df6b2545-d15d-4d63-86ca-644416e434f8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ions" ma:index="10" nillable="true" ma:displayName="Regions" ma:default="Not Applicable" ma:internalName="Regions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Applicable"/>
                    <xsd:enumeration value="Central Asia"/>
                    <xsd:enumeration value="Eastern Europe"/>
                    <xsd:enumeration value="South Eastern Europe and Turkey (SEET)"/>
                    <xsd:enumeration value="Southern and Eastern Mediterranean (SEMED)"/>
                  </xsd:restriction>
                </xsd:simpleType>
              </xsd:element>
            </xsd:sequence>
          </xsd:extension>
        </xsd:complexContent>
      </xsd:complexType>
    </xsd:element>
    <xsd:element name="General_x0020_Keywords" ma:index="12" nillable="true" ma:displayName="General Keywords" ma:hidden="true" ma:internalName="General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Audit"/>
                    <xsd:enumeration value="Budget"/>
                    <xsd:enumeration value="Communication"/>
                    <xsd:enumeration value="Corporate"/>
                    <xsd:enumeration value="Correspondence"/>
                    <xsd:enumeration value="Evaluation"/>
                    <xsd:enumeration value="Facilities"/>
                    <xsd:enumeration value="Finance"/>
                    <xsd:enumeration value="Governance"/>
                    <xsd:enumeration value="Human resources"/>
                    <xsd:enumeration value="ICT"/>
                    <xsd:enumeration value="Management"/>
                    <xsd:enumeration value="Monitoring"/>
                    <xsd:enumeration value="Operations"/>
                    <xsd:enumeration value="Organisational development"/>
                    <xsd:enumeration value="Planning"/>
                    <xsd:enumeration value="Procurement"/>
                    <xsd:enumeration value="Reporting"/>
                    <xsd:enumeration value="Staff committee"/>
                    <xsd:enumeration value="Strategy"/>
                  </xsd:restriction>
                </xsd:simpleType>
              </xsd:element>
            </xsd:sequence>
          </xsd:extension>
        </xsd:complexContent>
      </xsd:complexType>
    </xsd:element>
    <xsd:element name="PA_QUAL" ma:index="20" nillable="true" ma:displayName="Project Activity" ma:list="{a03d2809-6600-4914-80c7-0b761fb3a898}" ma:internalName="PA_QUAL" ma:showField="Title" ma:web="df6b2545-d15d-4d63-86ca-644416e434f8">
      <xsd:simpleType>
        <xsd:restriction base="dms:Lookup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c4bbb-6da8-4c98-8c13-a85c6b75e98e" elementFormDefault="qualified">
    <xsd:import namespace="http://schemas.microsoft.com/office/2006/documentManagement/types"/>
    <xsd:import namespace="http://schemas.microsoft.com/office/infopath/2007/PartnerControls"/>
    <xsd:element name="OperationsSubArea" ma:index="1" ma:displayName="Operations Sub Area" ma:format="Dropdown" ma:internalName="OperationsSubArea">
      <xsd:simpleType>
        <xsd:restriction base="dms:Choice">
          <xsd:enumeration value="Support to the EU policy and external assistance"/>
          <xsd:enumeration value="Policy analysis and system wide progress monitoring"/>
          <xsd:enumeration value="VET governance"/>
          <xsd:enumeration value="Qualifications and qualification system"/>
          <xsd:enumeration value="VET provision and quality"/>
          <xsd:enumeration value="Employment, employability and mobility"/>
          <xsd:enumeration value="Entrepreneurial learning and enterprise skills"/>
          <xsd:enumeration value="Country desks"/>
          <xsd:enumeration value="GEMM"/>
          <xsd:enumeration value="Statistics"/>
          <xsd:enumeration value="Knowledge management"/>
          <xsd:enumeration value="Capacity building"/>
          <xsd:enumeration value="Expertise development"/>
          <xsd:enumeration value="Regional activities"/>
          <xsd:enumeration value="Management and coordination"/>
          <xsd:enumeration value="Planning monitoring and reporting"/>
          <xsd:enumeration value="Finance and procurement"/>
        </xsd:restriction>
      </xsd:simpleType>
    </xsd:element>
    <xsd:element name="ReferenceYear" ma:index="4" ma:displayName="Reference Year" ma:default="2018" ma:format="Dropdown" ma:internalName="ReferenceYear">
      <xsd:simpleType>
        <xsd:restriction base="dms:Choice">
          <xsd:enumeration value="2030"/>
          <xsd:enumeration value="2029"/>
          <xsd:enumeration value="2028"/>
          <xsd:enumeration value="2027"/>
          <xsd:enumeration value="2026"/>
          <xsd:enumeration value="2025"/>
          <xsd:enumeration value="2024"/>
          <xsd:enumeration value="2023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0000"/>
        </xsd:restriction>
      </xsd:simpleType>
    </xsd:element>
    <xsd:element name="Authors" ma:index="5" nillable="true" ma:displayName="Authors" ma:internalName="Authors">
      <xsd:simpleType>
        <xsd:restriction base="dms:Text"/>
      </xsd:simpleType>
    </xsd:element>
    <xsd:element name="ETFLanguage" ma:index="6" nillable="true" ma:displayName="Language" ma:default="English" ma:format="Dropdown" ma:internalName="ETFLanguage">
      <xsd:simpleType>
        <xsd:restriction base="dms:Choice">
          <xsd:enumeration value="English"/>
          <xsd:enumeration value="Italian"/>
          <xsd:enumeration value="French"/>
          <xsd:enumeration value="German"/>
          <xsd:enumeration value="Spanish"/>
          <xsd:enumeration value="Arabic"/>
          <xsd:enumeration value="Russian"/>
          <xsd:enumeration value="Local language"/>
        </xsd:restriction>
      </xsd:simpleType>
    </xsd:element>
    <xsd:element name="ReferenceNumber" ma:index="7" nillable="true" ma:displayName="Reference Number" ma:internalName="ReferenceNumber">
      <xsd:simpleType>
        <xsd:restriction base="dms:Text"/>
      </xsd:simpleType>
    </xsd:element>
    <xsd:element name="Qualifications_x0020_Keywords" ma:index="8" nillable="true" ma:displayName="Qualifications Keywords" ma:internalName="Qualifications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 and certification"/>
                    <xsd:enumeration value="Bologna Process"/>
                    <xsd:enumeration value="Credit Systems"/>
                    <xsd:enumeration value="Curricula"/>
                    <xsd:enumeration value="Standards"/>
                    <xsd:enumeration value="European Qualifications Framework"/>
                    <xsd:enumeration value="Learning outcomes"/>
                    <xsd:enumeration value="Legislation"/>
                    <xsd:enumeration value="Institutional arrangements"/>
                    <xsd:enumeration value="Mobility"/>
                    <xsd:enumeration value="Qualifications frameworks"/>
                    <xsd:enumeration value="Quality assurance of qualifications"/>
                    <xsd:enumeration value="Recognition of qualifications"/>
                    <xsd:enumeration value="Sector skills councils"/>
                    <xsd:enumeration value="Validation of non-formal and informal learning"/>
                  </xsd:restriction>
                </xsd:simpleType>
              </xsd:element>
            </xsd:sequence>
          </xsd:extension>
        </xsd:complexContent>
      </xsd:complexType>
    </xsd:element>
    <xsd:element name="Origin" ma:index="11" nillable="true" ma:displayName="Origin" ma:hidden="true" ma:internalName="Origin" ma:readOnly="false">
      <xsd:simpleType>
        <xsd:restriction base="dms:Choice">
          <xsd:enumeration value="ETF"/>
          <xsd:enumeration value="External"/>
          <xsd:enumeration value="Commission"/>
        </xsd:restriction>
      </xsd:simpleType>
    </xsd:element>
    <xsd:element name="Status" ma:index="13" nillable="true" ma:displayName="Status" ma:hidden="true" ma:internalName="Status" ma:readOnly="false">
      <xsd:simpleType>
        <xsd:restriction base="dms:Choice">
          <xsd:enumeration value="Draft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ies xmlns="df6b2545-d15d-4d63-86ca-644416e434f8">
      <Value>8</Value>
    </Countries>
    <Regions xmlns="df6b2545-d15d-4d63-86ca-644416e434f8">
      <Value>Not Applicable</Value>
    </Regions>
    <General_x0020_Keywords xmlns="df6b2545-d15d-4d63-86ca-644416e434f8"/>
    <_dlc_DocId xmlns="df6b2545-d15d-4d63-86ca-644416e434f8">ETFDMS-2034704231-1946</_dlc_DocId>
    <_dlc_DocIdUrl xmlns="df6b2545-d15d-4d63-86ca-644416e434f8">
      <Url>https://sharing.etf.europa.eu/sites/dms/ops/qualf/_layouts/15/DocIdRedir.aspx?ID=ETFDMS-2034704231-1946</Url>
      <Description>ETFDMS-2034704231-1946</Description>
    </_dlc_DocIdUrl>
    <Event_x0020_Meeting_x0020_Document_x0020_Type xmlns="df6b2545-d15d-4d63-86ca-644416e434f8">Agenda</Event_x0020_Meeting_x0020_Document_x0020_Type>
    <ReferenceYear xmlns="bc3c4bbb-6da8-4c98-8c13-a85c6b75e98e">2018</ReferenceYear>
    <Status xmlns="bc3c4bbb-6da8-4c98-8c13-a85c6b75e98e" xsi:nil="true"/>
    <Origin xmlns="bc3c4bbb-6da8-4c98-8c13-a85c6b75e98e" xsi:nil="true"/>
    <ETFLanguage xmlns="bc3c4bbb-6da8-4c98-8c13-a85c6b75e98e">English</ETFLanguage>
    <OperationsSubArea xmlns="bc3c4bbb-6da8-4c98-8c13-a85c6b75e98e">Qualifications and qualification system</OperationsSubArea>
    <ReferenceNumber xmlns="bc3c4bbb-6da8-4c98-8c13-a85c6b75e98e">ETF.93364</ReferenceNumber>
    <Authors xmlns="bc3c4bbb-6da8-4c98-8c13-a85c6b75e98e" xsi:nil="true"/>
    <PA_QUAL xmlns="df6b2545-d15d-4d63-86ca-644416e434f8">53</PA_QUAL>
    <Qualifications_x0020_Keywords xmlns="bc3c4bbb-6da8-4c98-8c13-a85c6b75e98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85E5E-0B0E-48DF-80C9-34E9EB8349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81B18-E223-4556-B5D4-EE33D7856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b2545-d15d-4d63-86ca-644416e434f8"/>
    <ds:schemaRef ds:uri="bc3c4bbb-6da8-4c98-8c13-a85c6b75e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B1A1F2-E61C-4A56-A45A-AC2919DBC7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5204FA-B8C3-4C6E-8776-E98EAAA02737}">
  <ds:schemaRefs>
    <ds:schemaRef ds:uri="http://purl.org/dc/elements/1.1/"/>
    <ds:schemaRef ds:uri="http://schemas.microsoft.com/office/2006/metadata/properties"/>
    <ds:schemaRef ds:uri="df6b2545-d15d-4d63-86ca-644416e434f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bc3c4bbb-6da8-4c98-8c13-a85c6b75e98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FB3FCB1-38E7-49A4-8B19-7474EAAA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ETF Agenda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agenda_VNFIL workshop_30-31 May 2018 revised on 0205</vt:lpstr>
    </vt:vector>
  </TitlesOfParts>
  <Company>European Training Foundation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agenda_VNFIL workshop_30-31 May 2018 revised on 0205</dc:title>
  <dc:creator>Mara Arno</dc:creator>
  <cp:lastModifiedBy>Nadezda Solodjankina</cp:lastModifiedBy>
  <cp:revision>2</cp:revision>
  <cp:lastPrinted>2018-05-14T09:44:00Z</cp:lastPrinted>
  <dcterms:created xsi:type="dcterms:W3CDTF">2018-05-15T09:27:00Z</dcterms:created>
  <dcterms:modified xsi:type="dcterms:W3CDTF">2018-05-15T09:27:00Z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gnoff">
    <vt:lpwstr/>
  </property>
  <property fmtid="{D5CDD505-2E9C-101B-9397-08002B2CF9AE}" pid="3" name="DocEventName">
    <vt:lpwstr> </vt:lpwstr>
  </property>
  <property fmtid="{D5CDD505-2E9C-101B-9397-08002B2CF9AE}" pid="4" name="DocLocation">
    <vt:lpwstr> </vt:lpwstr>
  </property>
  <property fmtid="{D5CDD505-2E9C-101B-9397-08002B2CF9AE}" pid="5" name="DocDateRange">
    <vt:lpwstr> </vt:lpwstr>
  </property>
  <property fmtid="{D5CDD505-2E9C-101B-9397-08002B2CF9AE}" pid="6" name="DocPath">
    <vt:lpwstr>h:\client applications\etf templates\ETF Agenda.dotx</vt:lpwstr>
  </property>
  <property fmtid="{D5CDD505-2E9C-101B-9397-08002B2CF9AE}" pid="7" name="DocType">
    <vt:lpwstr>ETF</vt:lpwstr>
  </property>
  <property fmtid="{D5CDD505-2E9C-101B-9397-08002B2CF9AE}" pid="8" name="InitialTemplateVersion">
    <vt:lpwstr>1.5</vt:lpwstr>
  </property>
  <property fmtid="{D5CDD505-2E9C-101B-9397-08002B2CF9AE}" pid="9" name="CurrentTemplateVersion">
    <vt:lpwstr>1.5</vt:lpwstr>
  </property>
  <property fmtid="{D5CDD505-2E9C-101B-9397-08002B2CF9AE}" pid="10" name="DocTemplateName">
    <vt:lpwstr>ETF Agenda.dotx</vt:lpwstr>
  </property>
  <property fmtid="{D5CDD505-2E9C-101B-9397-08002B2CF9AE}" pid="11" name="ContentTypeId">
    <vt:lpwstr>0x01010018C77CAB493C4CC28C851D171ACDEB5D00596B2BA2685E0A45A241E5F16505E5C500E7ACB01FCAFE3B4FAF4542484D921456</vt:lpwstr>
  </property>
  <property fmtid="{D5CDD505-2E9C-101B-9397-08002B2CF9AE}" pid="12" name="Area">
    <vt:lpwstr>Operations</vt:lpwstr>
  </property>
  <property fmtid="{D5CDD505-2E9C-101B-9397-08002B2CF9AE}" pid="13" name="_dlc_DocIdItemGuid">
    <vt:lpwstr>6dcf86a4-75e3-4d83-84a4-641c3794c83a</vt:lpwstr>
  </property>
  <property fmtid="{D5CDD505-2E9C-101B-9397-08002B2CF9AE}" pid="14" name="_docset_NoMedatataSyncRequired">
    <vt:lpwstr>False</vt:lpwstr>
  </property>
  <property fmtid="{D5CDD505-2E9C-101B-9397-08002B2CF9AE}" pid="15" name="OPS Tags">
    <vt:lpwstr>;#Qualifications;#</vt:lpwstr>
  </property>
</Properties>
</file>