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AF18" w14:textId="77777777" w:rsidR="008453FF" w:rsidRDefault="008453FF">
      <w:pPr>
        <w:pBdr>
          <w:top w:val="nil"/>
          <w:left w:val="nil"/>
          <w:bottom w:val="nil"/>
          <w:right w:val="nil"/>
          <w:between w:val="nil"/>
        </w:pBdr>
        <w:spacing w:after="120"/>
        <w:ind w:left="720"/>
        <w:rPr>
          <w:color w:val="455560"/>
        </w:rPr>
      </w:pPr>
    </w:p>
    <w:p w14:paraId="0EB30A82" w14:textId="77777777" w:rsidR="008453FF" w:rsidRDefault="008453FF">
      <w:pPr>
        <w:pBdr>
          <w:top w:val="nil"/>
          <w:left w:val="nil"/>
          <w:bottom w:val="nil"/>
          <w:right w:val="nil"/>
          <w:between w:val="nil"/>
        </w:pBdr>
        <w:spacing w:after="120"/>
        <w:rPr>
          <w:color w:val="455560"/>
        </w:rPr>
      </w:pPr>
    </w:p>
    <w:p w14:paraId="05A6C817" w14:textId="77777777" w:rsidR="008453FF" w:rsidRDefault="008453FF">
      <w:pPr>
        <w:jc w:val="center"/>
        <w:rPr>
          <w:b/>
          <w:i/>
        </w:rPr>
      </w:pPr>
    </w:p>
    <w:p w14:paraId="6A56C9EF" w14:textId="77777777" w:rsidR="008453FF" w:rsidRDefault="008453FF">
      <w:pPr>
        <w:jc w:val="center"/>
        <w:rPr>
          <w:b/>
          <w:i/>
        </w:rPr>
      </w:pPr>
    </w:p>
    <w:p w14:paraId="1E8DBCC7" w14:textId="77777777" w:rsidR="008453FF" w:rsidRDefault="008453FF">
      <w:pPr>
        <w:jc w:val="center"/>
        <w:rPr>
          <w:b/>
          <w:i/>
        </w:rPr>
      </w:pPr>
    </w:p>
    <w:p w14:paraId="3E8FE7CC" w14:textId="77777777" w:rsidR="008453FF" w:rsidRDefault="008453FF">
      <w:pPr>
        <w:jc w:val="center"/>
        <w:rPr>
          <w:b/>
          <w:i/>
        </w:rPr>
      </w:pPr>
    </w:p>
    <w:p w14:paraId="31BC5E38" w14:textId="77777777" w:rsidR="008453FF" w:rsidRDefault="008453FF">
      <w:pPr>
        <w:jc w:val="center"/>
        <w:rPr>
          <w:b/>
          <w:i/>
        </w:rPr>
      </w:pPr>
    </w:p>
    <w:p w14:paraId="22774D68" w14:textId="77777777" w:rsidR="008453FF" w:rsidRDefault="008453FF">
      <w:pPr>
        <w:jc w:val="center"/>
        <w:rPr>
          <w:b/>
          <w:i/>
        </w:rPr>
      </w:pPr>
    </w:p>
    <w:tbl>
      <w:tblPr>
        <w:tblStyle w:val="a"/>
        <w:tblpPr w:leftFromText="181" w:rightFromText="181" w:vertAnchor="page" w:horzAnchor="margin" w:tblpY="5566"/>
        <w:tblW w:w="7087" w:type="dxa"/>
        <w:tblBorders>
          <w:top w:val="nil"/>
          <w:left w:val="nil"/>
          <w:bottom w:val="nil"/>
          <w:right w:val="nil"/>
          <w:insideH w:val="nil"/>
          <w:insideV w:val="nil"/>
        </w:tblBorders>
        <w:tblLayout w:type="fixed"/>
        <w:tblLook w:val="0400" w:firstRow="0" w:lastRow="0" w:firstColumn="0" w:lastColumn="0" w:noHBand="0" w:noVBand="1"/>
      </w:tblPr>
      <w:tblGrid>
        <w:gridCol w:w="7087"/>
      </w:tblGrid>
      <w:tr w:rsidR="008453FF" w14:paraId="40FC2A04" w14:textId="77777777">
        <w:trPr>
          <w:trHeight w:val="567"/>
        </w:trPr>
        <w:tc>
          <w:tcPr>
            <w:tcW w:w="7087" w:type="dxa"/>
          </w:tcPr>
          <w:p w14:paraId="55E1580F" w14:textId="2E586ABE" w:rsidR="008453FF" w:rsidRDefault="00FB2BCB">
            <w:pPr>
              <w:pStyle w:val="Title"/>
            </w:pPr>
            <w:r>
              <w:t>Torino Process policy and system monitoring framework</w:t>
            </w:r>
            <w:r w:rsidR="000E61A5">
              <w:t xml:space="preserve"> 2025</w:t>
            </w:r>
          </w:p>
        </w:tc>
      </w:tr>
      <w:tr w:rsidR="008453FF" w14:paraId="018E4D62" w14:textId="77777777">
        <w:tc>
          <w:tcPr>
            <w:tcW w:w="7087" w:type="dxa"/>
          </w:tcPr>
          <w:p w14:paraId="24E4AAE1" w14:textId="77777777" w:rsidR="008453FF" w:rsidRDefault="00FB2BCB">
            <w:pPr>
              <w:pStyle w:val="Subtitle"/>
            </w:pPr>
            <w:bookmarkStart w:id="0" w:name="_heading=h.ud76dxq2a323" w:colFirst="0" w:colLast="0"/>
            <w:bookmarkEnd w:id="0"/>
            <w:r>
              <w:t>Guidelines for the 2025 round</w:t>
            </w:r>
          </w:p>
          <w:p w14:paraId="737C41E4" w14:textId="77777777" w:rsidR="008453FF" w:rsidRDefault="008453FF">
            <w:pPr>
              <w:pStyle w:val="Subtitle"/>
            </w:pPr>
          </w:p>
          <w:p w14:paraId="00F8C4F6" w14:textId="77777777" w:rsidR="008453FF" w:rsidRDefault="008453FF">
            <w:pPr>
              <w:pBdr>
                <w:top w:val="nil"/>
                <w:left w:val="nil"/>
                <w:bottom w:val="nil"/>
                <w:right w:val="nil"/>
                <w:between w:val="nil"/>
              </w:pBdr>
              <w:spacing w:after="120" w:line="259" w:lineRule="auto"/>
              <w:rPr>
                <w:i/>
                <w:color w:val="455560"/>
              </w:rPr>
            </w:pPr>
          </w:p>
          <w:p w14:paraId="62A8D207" w14:textId="2FF52382" w:rsidR="008453FF" w:rsidRDefault="008453FF">
            <w:pPr>
              <w:pBdr>
                <w:top w:val="nil"/>
                <w:left w:val="nil"/>
                <w:bottom w:val="nil"/>
                <w:right w:val="nil"/>
                <w:between w:val="nil"/>
              </w:pBdr>
              <w:spacing w:after="120" w:line="259" w:lineRule="auto"/>
              <w:rPr>
                <w:i/>
                <w:color w:val="455560"/>
              </w:rPr>
            </w:pPr>
          </w:p>
        </w:tc>
      </w:tr>
    </w:tbl>
    <w:p w14:paraId="4B3B6AB0" w14:textId="77777777" w:rsidR="008453FF" w:rsidRDefault="008453FF">
      <w:pPr>
        <w:rPr>
          <w:b/>
          <w:i/>
        </w:rPr>
        <w:sectPr w:rsidR="008453FF">
          <w:headerReference w:type="default" r:id="rId8"/>
          <w:footerReference w:type="default" r:id="rId9"/>
          <w:headerReference w:type="first" r:id="rId10"/>
          <w:pgSz w:w="11906" w:h="16838"/>
          <w:pgMar w:top="1418" w:right="1418" w:bottom="2098" w:left="1418" w:header="709" w:footer="1021" w:gutter="0"/>
          <w:pgNumType w:start="1"/>
          <w:cols w:space="720"/>
          <w:titlePg/>
        </w:sectPr>
      </w:pPr>
    </w:p>
    <w:p w14:paraId="290762EB" w14:textId="77777777" w:rsidR="000E61A5" w:rsidRPr="006D2FD5" w:rsidRDefault="000E61A5" w:rsidP="000E61A5">
      <w:pPr>
        <w:pStyle w:val="BodyText"/>
        <w:rPr>
          <w:b/>
          <w:bCs/>
          <w:color w:val="0092BB" w:themeColor="text2"/>
          <w:sz w:val="36"/>
          <w:szCs w:val="36"/>
        </w:rPr>
      </w:pPr>
      <w:r w:rsidRPr="006D2FD5">
        <w:rPr>
          <w:b/>
          <w:bCs/>
          <w:color w:val="0092BB" w:themeColor="text2"/>
          <w:sz w:val="36"/>
          <w:szCs w:val="36"/>
        </w:rPr>
        <w:lastRenderedPageBreak/>
        <w:t>CONTENTS</w:t>
      </w:r>
    </w:p>
    <w:p w14:paraId="1B6A90C3" w14:textId="77777777" w:rsidR="000E61A5" w:rsidRPr="00215F99" w:rsidRDefault="000E61A5" w:rsidP="000E61A5">
      <w:pPr>
        <w:pStyle w:val="BodyText"/>
      </w:pPr>
    </w:p>
    <w:sdt>
      <w:sdtPr>
        <w:id w:val="404265980"/>
        <w:docPartObj>
          <w:docPartGallery w:val="Table of Contents"/>
          <w:docPartUnique/>
        </w:docPartObj>
      </w:sdtPr>
      <w:sdtEndPr>
        <w:rPr>
          <w:b/>
          <w:bCs/>
        </w:rPr>
      </w:sdtEndPr>
      <w:sdtContent>
        <w:p w14:paraId="624055F0" w14:textId="07A96F5A" w:rsidR="000E61A5" w:rsidRDefault="000E61A5" w:rsidP="000E61A5">
          <w:pPr>
            <w:pStyle w:val="TOC1"/>
            <w:rPr>
              <w:rFonts w:eastAsiaTheme="minorEastAsia"/>
              <w:caps w:val="0"/>
              <w:color w:val="auto"/>
              <w:kern w:val="2"/>
              <w:sz w:val="24"/>
              <w:szCs w:val="24"/>
              <w:lang w:val="en-US"/>
              <w14:ligatures w14:val="standardContextual"/>
            </w:rPr>
          </w:pPr>
          <w:r w:rsidRPr="00215F99">
            <w:fldChar w:fldCharType="begin"/>
          </w:r>
          <w:r w:rsidRPr="00215F99">
            <w:instrText xml:space="preserve"> TOC \o "1-3" \u </w:instrText>
          </w:r>
          <w:r w:rsidRPr="00215F99">
            <w:fldChar w:fldCharType="separate"/>
          </w:r>
          <w:r>
            <w:t>Introduction to the Torino Process 2025</w:t>
          </w:r>
          <w:r>
            <w:tab/>
          </w:r>
          <w:r>
            <w:fldChar w:fldCharType="begin"/>
          </w:r>
          <w:r>
            <w:instrText xml:space="preserve"> PAGEREF _Toc198827561 \h </w:instrText>
          </w:r>
          <w:r>
            <w:fldChar w:fldCharType="separate"/>
          </w:r>
          <w:r w:rsidR="00C71950">
            <w:t>3</w:t>
          </w:r>
          <w:r>
            <w:fldChar w:fldCharType="end"/>
          </w:r>
        </w:p>
        <w:p w14:paraId="592DD4DE" w14:textId="44ABE9E5" w:rsidR="000E61A5" w:rsidRDefault="000E61A5" w:rsidP="000E61A5">
          <w:pPr>
            <w:pStyle w:val="TOC2"/>
            <w:rPr>
              <w:rFonts w:eastAsiaTheme="minorEastAsia"/>
              <w:color w:val="auto"/>
              <w:kern w:val="2"/>
              <w:sz w:val="24"/>
              <w:szCs w:val="24"/>
              <w:lang w:val="en-US"/>
              <w14:ligatures w14:val="standardContextual"/>
            </w:rPr>
          </w:pPr>
          <w:r>
            <w:t>Institutional context: monitoring at the ETF</w:t>
          </w:r>
          <w:r>
            <w:tab/>
          </w:r>
          <w:r>
            <w:fldChar w:fldCharType="begin"/>
          </w:r>
          <w:r>
            <w:instrText xml:space="preserve"> PAGEREF _Toc198827562 \h </w:instrText>
          </w:r>
          <w:r>
            <w:fldChar w:fldCharType="separate"/>
          </w:r>
          <w:r w:rsidR="00C71950">
            <w:t>3</w:t>
          </w:r>
          <w:r>
            <w:fldChar w:fldCharType="end"/>
          </w:r>
        </w:p>
        <w:p w14:paraId="4E4C2C14" w14:textId="290A4F26" w:rsidR="000E61A5" w:rsidRDefault="000E61A5" w:rsidP="000E61A5">
          <w:pPr>
            <w:pStyle w:val="TOC3"/>
            <w:rPr>
              <w:rFonts w:eastAsiaTheme="minorEastAsia"/>
              <w:color w:val="auto"/>
              <w:kern w:val="2"/>
              <w:sz w:val="24"/>
              <w:szCs w:val="24"/>
              <w:lang w:val="en-US"/>
              <w14:ligatures w14:val="standardContextual"/>
            </w:rPr>
          </w:pPr>
          <w:r>
            <w:t>KIESE data collection</w:t>
          </w:r>
          <w:r>
            <w:tab/>
          </w:r>
          <w:r>
            <w:fldChar w:fldCharType="begin"/>
          </w:r>
          <w:r>
            <w:instrText xml:space="preserve"> PAGEREF _Toc198827563 \h </w:instrText>
          </w:r>
          <w:r>
            <w:fldChar w:fldCharType="separate"/>
          </w:r>
          <w:r w:rsidR="00C71950">
            <w:t>3</w:t>
          </w:r>
          <w:r>
            <w:fldChar w:fldCharType="end"/>
          </w:r>
        </w:p>
        <w:p w14:paraId="5B43D687" w14:textId="74ECB445" w:rsidR="000E61A5" w:rsidRDefault="000E61A5" w:rsidP="000E61A5">
          <w:pPr>
            <w:pStyle w:val="TOC3"/>
            <w:rPr>
              <w:rFonts w:eastAsiaTheme="minorEastAsia"/>
              <w:color w:val="auto"/>
              <w:kern w:val="2"/>
              <w:sz w:val="24"/>
              <w:szCs w:val="24"/>
              <w:lang w:val="en-US"/>
              <w14:ligatures w14:val="standardContextual"/>
            </w:rPr>
          </w:pPr>
          <w:r>
            <w:t>Torino Process</w:t>
          </w:r>
          <w:r>
            <w:tab/>
          </w:r>
          <w:r>
            <w:fldChar w:fldCharType="begin"/>
          </w:r>
          <w:r>
            <w:instrText xml:space="preserve"> PAGEREF _Toc198827564 \h </w:instrText>
          </w:r>
          <w:r>
            <w:fldChar w:fldCharType="separate"/>
          </w:r>
          <w:r w:rsidR="00C71950">
            <w:t>3</w:t>
          </w:r>
          <w:r>
            <w:fldChar w:fldCharType="end"/>
          </w:r>
        </w:p>
        <w:p w14:paraId="5489DC06" w14:textId="42F1668E" w:rsidR="000E61A5" w:rsidRDefault="000E61A5" w:rsidP="000E61A5">
          <w:pPr>
            <w:pStyle w:val="TOC3"/>
            <w:rPr>
              <w:rFonts w:eastAsiaTheme="minorEastAsia"/>
              <w:color w:val="auto"/>
              <w:kern w:val="2"/>
              <w:sz w:val="24"/>
              <w:szCs w:val="24"/>
              <w:lang w:val="en-US"/>
              <w14:ligatures w14:val="standardContextual"/>
            </w:rPr>
          </w:pPr>
          <w:r>
            <w:t>Copenhagen process</w:t>
          </w:r>
          <w:r>
            <w:tab/>
          </w:r>
          <w:r>
            <w:fldChar w:fldCharType="begin"/>
          </w:r>
          <w:r>
            <w:instrText xml:space="preserve"> PAGEREF _Toc198827565 \h </w:instrText>
          </w:r>
          <w:r>
            <w:fldChar w:fldCharType="separate"/>
          </w:r>
          <w:r w:rsidR="00C71950">
            <w:t>3</w:t>
          </w:r>
          <w:r>
            <w:fldChar w:fldCharType="end"/>
          </w:r>
        </w:p>
        <w:p w14:paraId="47CAA9FF" w14:textId="6BA47EB9" w:rsidR="000E61A5" w:rsidRDefault="000E61A5" w:rsidP="000E61A5">
          <w:pPr>
            <w:pStyle w:val="TOC3"/>
            <w:rPr>
              <w:rFonts w:eastAsiaTheme="minorEastAsia"/>
              <w:color w:val="auto"/>
              <w:kern w:val="2"/>
              <w:sz w:val="24"/>
              <w:szCs w:val="24"/>
              <w:lang w:val="en-US"/>
              <w14:ligatures w14:val="standardContextual"/>
            </w:rPr>
          </w:pPr>
          <w:r>
            <w:t>Monitoring deliverables</w:t>
          </w:r>
          <w:r>
            <w:tab/>
          </w:r>
          <w:r>
            <w:fldChar w:fldCharType="begin"/>
          </w:r>
          <w:r>
            <w:instrText xml:space="preserve"> PAGEREF _Toc198827566 \h </w:instrText>
          </w:r>
          <w:r>
            <w:fldChar w:fldCharType="separate"/>
          </w:r>
          <w:r w:rsidR="00C71950">
            <w:t>4</w:t>
          </w:r>
          <w:r>
            <w:fldChar w:fldCharType="end"/>
          </w:r>
        </w:p>
        <w:p w14:paraId="44E870FB" w14:textId="76690C11" w:rsidR="000E61A5" w:rsidRDefault="000E61A5" w:rsidP="000E61A5">
          <w:pPr>
            <w:pStyle w:val="TOC2"/>
            <w:rPr>
              <w:rFonts w:eastAsiaTheme="minorEastAsia"/>
              <w:color w:val="auto"/>
              <w:kern w:val="2"/>
              <w:sz w:val="24"/>
              <w:szCs w:val="24"/>
              <w:lang w:val="en-US"/>
              <w14:ligatures w14:val="standardContextual"/>
            </w:rPr>
          </w:pPr>
          <w:r>
            <w:t>Conceptual context: a dual framework</w:t>
          </w:r>
          <w:r>
            <w:tab/>
          </w:r>
          <w:r>
            <w:fldChar w:fldCharType="begin"/>
          </w:r>
          <w:r>
            <w:instrText xml:space="preserve"> PAGEREF _Toc198827567 \h </w:instrText>
          </w:r>
          <w:r>
            <w:fldChar w:fldCharType="separate"/>
          </w:r>
          <w:r w:rsidR="00C71950">
            <w:t>4</w:t>
          </w:r>
          <w:r>
            <w:fldChar w:fldCharType="end"/>
          </w:r>
        </w:p>
        <w:p w14:paraId="244322C1" w14:textId="35AC67EB" w:rsidR="000E61A5" w:rsidRDefault="000E61A5" w:rsidP="000E61A5">
          <w:pPr>
            <w:pStyle w:val="TOC1"/>
            <w:rPr>
              <w:rFonts w:eastAsiaTheme="minorEastAsia"/>
              <w:caps w:val="0"/>
              <w:color w:val="auto"/>
              <w:kern w:val="2"/>
              <w:sz w:val="24"/>
              <w:szCs w:val="24"/>
              <w:lang w:val="en-US"/>
              <w14:ligatures w14:val="standardContextual"/>
            </w:rPr>
          </w:pPr>
          <w:r>
            <w:t>Torino Process monitoring strand</w:t>
          </w:r>
          <w:r>
            <w:tab/>
          </w:r>
          <w:r>
            <w:fldChar w:fldCharType="begin"/>
          </w:r>
          <w:r>
            <w:instrText xml:space="preserve"> PAGEREF _Toc198827568 \h </w:instrText>
          </w:r>
          <w:r>
            <w:fldChar w:fldCharType="separate"/>
          </w:r>
          <w:r w:rsidR="00C71950">
            <w:t>6</w:t>
          </w:r>
          <w:r>
            <w:fldChar w:fldCharType="end"/>
          </w:r>
        </w:p>
        <w:p w14:paraId="3E990A39" w14:textId="6348177C" w:rsidR="000E61A5" w:rsidRDefault="000E61A5" w:rsidP="000E61A5">
          <w:pPr>
            <w:pStyle w:val="TOC2"/>
            <w:rPr>
              <w:rFonts w:eastAsiaTheme="minorEastAsia"/>
              <w:color w:val="auto"/>
              <w:kern w:val="2"/>
              <w:sz w:val="24"/>
              <w:szCs w:val="24"/>
              <w:lang w:val="en-US"/>
              <w14:ligatures w14:val="standardContextual"/>
            </w:rPr>
          </w:pPr>
          <w:r>
            <w:t>Scope and focus</w:t>
          </w:r>
          <w:r>
            <w:tab/>
          </w:r>
          <w:r>
            <w:fldChar w:fldCharType="begin"/>
          </w:r>
          <w:r>
            <w:instrText xml:space="preserve"> PAGEREF _Toc198827569 \h </w:instrText>
          </w:r>
          <w:r>
            <w:fldChar w:fldCharType="separate"/>
          </w:r>
          <w:r w:rsidR="00C71950">
            <w:t>6</w:t>
          </w:r>
          <w:r>
            <w:fldChar w:fldCharType="end"/>
          </w:r>
        </w:p>
        <w:p w14:paraId="102A0AD2" w14:textId="7A318534" w:rsidR="000E61A5" w:rsidRDefault="000E61A5" w:rsidP="000E61A5">
          <w:pPr>
            <w:pStyle w:val="TOC2"/>
            <w:rPr>
              <w:rFonts w:eastAsiaTheme="minorEastAsia"/>
              <w:color w:val="auto"/>
              <w:kern w:val="2"/>
              <w:sz w:val="24"/>
              <w:szCs w:val="24"/>
              <w:lang w:val="en-US"/>
              <w14:ligatures w14:val="standardContextual"/>
            </w:rPr>
          </w:pPr>
          <w:r>
            <w:t>Evidence and data sources</w:t>
          </w:r>
          <w:r>
            <w:tab/>
          </w:r>
          <w:r>
            <w:fldChar w:fldCharType="begin"/>
          </w:r>
          <w:r>
            <w:instrText xml:space="preserve"> PAGEREF _Toc198827570 \h </w:instrText>
          </w:r>
          <w:r>
            <w:fldChar w:fldCharType="separate"/>
          </w:r>
          <w:r w:rsidR="00C71950">
            <w:t>9</w:t>
          </w:r>
          <w:r>
            <w:fldChar w:fldCharType="end"/>
          </w:r>
        </w:p>
        <w:p w14:paraId="37EDD329" w14:textId="43EF29BD" w:rsidR="000E61A5" w:rsidRDefault="000E61A5" w:rsidP="000E61A5">
          <w:pPr>
            <w:pStyle w:val="TOC2"/>
            <w:rPr>
              <w:rFonts w:eastAsiaTheme="minorEastAsia"/>
              <w:color w:val="auto"/>
              <w:kern w:val="2"/>
              <w:sz w:val="24"/>
              <w:szCs w:val="24"/>
              <w:lang w:val="en-US"/>
              <w14:ligatures w14:val="standardContextual"/>
            </w:rPr>
          </w:pPr>
          <w:r>
            <w:t>Process and method</w:t>
          </w:r>
          <w:r>
            <w:tab/>
          </w:r>
          <w:r>
            <w:fldChar w:fldCharType="begin"/>
          </w:r>
          <w:r>
            <w:instrText xml:space="preserve"> PAGEREF _Toc198827571 \h </w:instrText>
          </w:r>
          <w:r>
            <w:fldChar w:fldCharType="separate"/>
          </w:r>
          <w:r w:rsidR="00C71950">
            <w:t>11</w:t>
          </w:r>
          <w:r>
            <w:fldChar w:fldCharType="end"/>
          </w:r>
        </w:p>
        <w:p w14:paraId="39CAA090" w14:textId="13085FED" w:rsidR="000E61A5" w:rsidRDefault="000E61A5" w:rsidP="000E61A5">
          <w:pPr>
            <w:pStyle w:val="TOC2"/>
            <w:rPr>
              <w:rFonts w:eastAsiaTheme="minorEastAsia"/>
              <w:color w:val="auto"/>
              <w:kern w:val="2"/>
              <w:sz w:val="24"/>
              <w:szCs w:val="24"/>
              <w:lang w:val="en-US"/>
              <w14:ligatures w14:val="standardContextual"/>
            </w:rPr>
          </w:pPr>
          <w:r>
            <w:t>Participation and geographic coverage</w:t>
          </w:r>
          <w:r>
            <w:tab/>
          </w:r>
          <w:r>
            <w:fldChar w:fldCharType="begin"/>
          </w:r>
          <w:r>
            <w:instrText xml:space="preserve"> PAGEREF _Toc198827572 \h </w:instrText>
          </w:r>
          <w:r>
            <w:fldChar w:fldCharType="separate"/>
          </w:r>
          <w:r w:rsidR="00C71950">
            <w:t>12</w:t>
          </w:r>
          <w:r>
            <w:fldChar w:fldCharType="end"/>
          </w:r>
        </w:p>
        <w:p w14:paraId="2D7E97E5" w14:textId="27C525B3" w:rsidR="000E61A5" w:rsidRDefault="000E61A5" w:rsidP="000E61A5">
          <w:pPr>
            <w:pStyle w:val="TOC2"/>
            <w:rPr>
              <w:rFonts w:eastAsiaTheme="minorEastAsia"/>
              <w:color w:val="auto"/>
              <w:kern w:val="2"/>
              <w:sz w:val="24"/>
              <w:szCs w:val="24"/>
              <w:lang w:val="en-US"/>
              <w14:ligatures w14:val="standardContextual"/>
            </w:rPr>
          </w:pPr>
          <w:r>
            <w:t>Deliverables</w:t>
          </w:r>
          <w:r>
            <w:tab/>
          </w:r>
          <w:r>
            <w:fldChar w:fldCharType="begin"/>
          </w:r>
          <w:r>
            <w:instrText xml:space="preserve"> PAGEREF _Toc198827573 \h </w:instrText>
          </w:r>
          <w:r>
            <w:fldChar w:fldCharType="separate"/>
          </w:r>
          <w:r w:rsidR="00C71950">
            <w:t>12</w:t>
          </w:r>
          <w:r>
            <w:fldChar w:fldCharType="end"/>
          </w:r>
        </w:p>
        <w:p w14:paraId="6C95EF06" w14:textId="3CE74312" w:rsidR="000E61A5" w:rsidRDefault="000E61A5" w:rsidP="000E61A5">
          <w:pPr>
            <w:pStyle w:val="TOC1"/>
            <w:rPr>
              <w:rFonts w:eastAsiaTheme="minorEastAsia"/>
              <w:caps w:val="0"/>
              <w:color w:val="auto"/>
              <w:kern w:val="2"/>
              <w:sz w:val="24"/>
              <w:szCs w:val="24"/>
              <w:lang w:val="en-US"/>
              <w14:ligatures w14:val="standardContextual"/>
            </w:rPr>
          </w:pPr>
          <w:r>
            <w:t>Torino Process review strand</w:t>
          </w:r>
          <w:r>
            <w:tab/>
          </w:r>
          <w:r>
            <w:fldChar w:fldCharType="begin"/>
          </w:r>
          <w:r>
            <w:instrText xml:space="preserve"> PAGEREF _Toc198827574 \h </w:instrText>
          </w:r>
          <w:r>
            <w:fldChar w:fldCharType="separate"/>
          </w:r>
          <w:r w:rsidR="00C71950">
            <w:t>14</w:t>
          </w:r>
          <w:r>
            <w:fldChar w:fldCharType="end"/>
          </w:r>
        </w:p>
        <w:p w14:paraId="4EFFBA48" w14:textId="4A2C2B0E" w:rsidR="000E61A5" w:rsidRDefault="000E61A5" w:rsidP="000E61A5">
          <w:pPr>
            <w:pStyle w:val="TOC2"/>
            <w:rPr>
              <w:rFonts w:eastAsiaTheme="minorEastAsia"/>
              <w:color w:val="auto"/>
              <w:kern w:val="2"/>
              <w:sz w:val="24"/>
              <w:szCs w:val="24"/>
              <w:lang w:val="en-US"/>
              <w14:ligatures w14:val="standardContextual"/>
            </w:rPr>
          </w:pPr>
          <w:r>
            <w:t>Scope and purpose of reviews</w:t>
          </w:r>
          <w:r>
            <w:tab/>
          </w:r>
          <w:r>
            <w:fldChar w:fldCharType="begin"/>
          </w:r>
          <w:r>
            <w:instrText xml:space="preserve"> PAGEREF _Toc198827575 \h </w:instrText>
          </w:r>
          <w:r>
            <w:fldChar w:fldCharType="separate"/>
          </w:r>
          <w:r w:rsidR="00C71950">
            <w:t>14</w:t>
          </w:r>
          <w:r>
            <w:fldChar w:fldCharType="end"/>
          </w:r>
        </w:p>
        <w:p w14:paraId="439A34CC" w14:textId="16A90F3E" w:rsidR="000E61A5" w:rsidRDefault="000E61A5" w:rsidP="000E61A5">
          <w:pPr>
            <w:pStyle w:val="TOC2"/>
            <w:rPr>
              <w:rFonts w:eastAsiaTheme="minorEastAsia"/>
              <w:color w:val="auto"/>
              <w:kern w:val="2"/>
              <w:sz w:val="24"/>
              <w:szCs w:val="24"/>
              <w:lang w:val="en-US"/>
              <w14:ligatures w14:val="standardContextual"/>
            </w:rPr>
          </w:pPr>
          <w:r>
            <w:t>Process and deliverables</w:t>
          </w:r>
          <w:r>
            <w:tab/>
          </w:r>
          <w:r>
            <w:fldChar w:fldCharType="begin"/>
          </w:r>
          <w:r>
            <w:instrText xml:space="preserve"> PAGEREF _Toc198827576 \h </w:instrText>
          </w:r>
          <w:r>
            <w:fldChar w:fldCharType="separate"/>
          </w:r>
          <w:r w:rsidR="00C71950">
            <w:t>14</w:t>
          </w:r>
          <w:r>
            <w:fldChar w:fldCharType="end"/>
          </w:r>
        </w:p>
        <w:p w14:paraId="0DE84B62" w14:textId="05F78BDA" w:rsidR="000E61A5" w:rsidRDefault="000E61A5" w:rsidP="000E61A5">
          <w:pPr>
            <w:pStyle w:val="TOC3"/>
            <w:rPr>
              <w:rFonts w:eastAsiaTheme="minorEastAsia"/>
              <w:color w:val="auto"/>
              <w:kern w:val="2"/>
              <w:sz w:val="24"/>
              <w:szCs w:val="24"/>
              <w:lang w:val="en-US"/>
              <w14:ligatures w14:val="standardContextual"/>
            </w:rPr>
          </w:pPr>
          <w:r>
            <w:t>PHASE ONE: Review launch</w:t>
          </w:r>
          <w:r>
            <w:tab/>
          </w:r>
          <w:r>
            <w:fldChar w:fldCharType="begin"/>
          </w:r>
          <w:r>
            <w:instrText xml:space="preserve"> PAGEREF _Toc198827577 \h </w:instrText>
          </w:r>
          <w:r>
            <w:fldChar w:fldCharType="separate"/>
          </w:r>
          <w:r w:rsidR="00C71950">
            <w:t>15</w:t>
          </w:r>
          <w:r>
            <w:fldChar w:fldCharType="end"/>
          </w:r>
        </w:p>
        <w:p w14:paraId="23A096D7" w14:textId="5B437028" w:rsidR="000E61A5" w:rsidRDefault="000E61A5" w:rsidP="000E61A5">
          <w:pPr>
            <w:pStyle w:val="TOC3"/>
            <w:rPr>
              <w:rFonts w:eastAsiaTheme="minorEastAsia"/>
              <w:color w:val="auto"/>
              <w:kern w:val="2"/>
              <w:sz w:val="24"/>
              <w:szCs w:val="24"/>
              <w:lang w:val="en-US"/>
              <w14:ligatures w14:val="standardContextual"/>
            </w:rPr>
          </w:pPr>
          <w:r>
            <w:t>PHASE TWO: Desk research</w:t>
          </w:r>
          <w:r>
            <w:tab/>
          </w:r>
          <w:r>
            <w:fldChar w:fldCharType="begin"/>
          </w:r>
          <w:r>
            <w:instrText xml:space="preserve"> PAGEREF _Toc198827578 \h </w:instrText>
          </w:r>
          <w:r>
            <w:fldChar w:fldCharType="separate"/>
          </w:r>
          <w:r w:rsidR="00C71950">
            <w:t>15</w:t>
          </w:r>
          <w:r>
            <w:fldChar w:fldCharType="end"/>
          </w:r>
        </w:p>
        <w:p w14:paraId="62C77E56" w14:textId="413B9870" w:rsidR="000E61A5" w:rsidRDefault="000E61A5" w:rsidP="000E61A5">
          <w:pPr>
            <w:pStyle w:val="TOC3"/>
            <w:rPr>
              <w:rFonts w:eastAsiaTheme="minorEastAsia"/>
              <w:color w:val="auto"/>
              <w:kern w:val="2"/>
              <w:sz w:val="24"/>
              <w:szCs w:val="24"/>
              <w:lang w:val="en-US"/>
              <w14:ligatures w14:val="standardContextual"/>
            </w:rPr>
          </w:pPr>
          <w:r>
            <w:t>PHASE THREE: Site visits</w:t>
          </w:r>
          <w:r>
            <w:tab/>
          </w:r>
          <w:r>
            <w:fldChar w:fldCharType="begin"/>
          </w:r>
          <w:r>
            <w:instrText xml:space="preserve"> PAGEREF _Toc198827579 \h </w:instrText>
          </w:r>
          <w:r>
            <w:fldChar w:fldCharType="separate"/>
          </w:r>
          <w:r w:rsidR="00C71950">
            <w:t>15</w:t>
          </w:r>
          <w:r>
            <w:fldChar w:fldCharType="end"/>
          </w:r>
        </w:p>
        <w:p w14:paraId="1A4686FB" w14:textId="7B912C17" w:rsidR="000E61A5" w:rsidRDefault="000E61A5" w:rsidP="000E61A5">
          <w:pPr>
            <w:pStyle w:val="TOC3"/>
            <w:rPr>
              <w:rFonts w:eastAsiaTheme="minorEastAsia"/>
              <w:color w:val="auto"/>
              <w:kern w:val="2"/>
              <w:sz w:val="24"/>
              <w:szCs w:val="24"/>
              <w:lang w:val="en-US"/>
              <w14:ligatures w14:val="standardContextual"/>
            </w:rPr>
          </w:pPr>
          <w:r>
            <w:t>PHASE FOUR: Compilation, reporting, and validation</w:t>
          </w:r>
          <w:r>
            <w:tab/>
          </w:r>
          <w:r>
            <w:fldChar w:fldCharType="begin"/>
          </w:r>
          <w:r>
            <w:instrText xml:space="preserve"> PAGEREF _Toc198827580 \h </w:instrText>
          </w:r>
          <w:r>
            <w:fldChar w:fldCharType="separate"/>
          </w:r>
          <w:r w:rsidR="00C71950">
            <w:t>16</w:t>
          </w:r>
          <w:r>
            <w:fldChar w:fldCharType="end"/>
          </w:r>
        </w:p>
        <w:p w14:paraId="1EB50794" w14:textId="64BC1582" w:rsidR="000E61A5" w:rsidRDefault="000E61A5" w:rsidP="000E61A5">
          <w:pPr>
            <w:pStyle w:val="TOC2"/>
            <w:rPr>
              <w:rFonts w:eastAsiaTheme="minorEastAsia"/>
              <w:color w:val="auto"/>
              <w:kern w:val="2"/>
              <w:sz w:val="24"/>
              <w:szCs w:val="24"/>
              <w:lang w:val="en-US"/>
              <w14:ligatures w14:val="standardContextual"/>
            </w:rPr>
          </w:pPr>
          <w:r>
            <w:t>Summary of responsibilities</w:t>
          </w:r>
          <w:r>
            <w:tab/>
          </w:r>
          <w:r>
            <w:fldChar w:fldCharType="begin"/>
          </w:r>
          <w:r>
            <w:instrText xml:space="preserve"> PAGEREF _Toc198827581 \h </w:instrText>
          </w:r>
          <w:r>
            <w:fldChar w:fldCharType="separate"/>
          </w:r>
          <w:r w:rsidR="00C71950">
            <w:t>17</w:t>
          </w:r>
          <w:r>
            <w:fldChar w:fldCharType="end"/>
          </w:r>
        </w:p>
        <w:p w14:paraId="21F07BAE" w14:textId="77777777" w:rsidR="000E61A5" w:rsidRPr="00215F99" w:rsidRDefault="000E61A5" w:rsidP="000E61A5">
          <w:pPr>
            <w:pStyle w:val="TOC1"/>
          </w:pPr>
          <w:r w:rsidRPr="00215F99">
            <w:fldChar w:fldCharType="end"/>
          </w:r>
        </w:p>
      </w:sdtContent>
    </w:sdt>
    <w:p w14:paraId="21C57D8E" w14:textId="77777777" w:rsidR="000E61A5" w:rsidRPr="00215F99" w:rsidRDefault="000E61A5" w:rsidP="000E61A5">
      <w:pPr>
        <w:pStyle w:val="NoSpacing"/>
        <w:rPr>
          <w:color w:val="FFFFFF" w:themeColor="background1"/>
          <w:sz w:val="10"/>
          <w:szCs w:val="12"/>
        </w:rPr>
      </w:pPr>
    </w:p>
    <w:p w14:paraId="306E8508" w14:textId="77777777" w:rsidR="000E61A5" w:rsidRPr="00215F99" w:rsidRDefault="000E61A5" w:rsidP="000E61A5">
      <w:pPr>
        <w:pStyle w:val="BodyText"/>
      </w:pPr>
      <w:r w:rsidRPr="00215F99">
        <w:br w:type="page"/>
      </w:r>
    </w:p>
    <w:p w14:paraId="1AF25295" w14:textId="77777777" w:rsidR="000E61A5" w:rsidRPr="00215F99" w:rsidRDefault="000E61A5" w:rsidP="000E61A5">
      <w:pPr>
        <w:pStyle w:val="Heading1"/>
      </w:pPr>
      <w:bookmarkStart w:id="1" w:name="_Toc198827561"/>
      <w:r w:rsidRPr="00215F99">
        <w:lastRenderedPageBreak/>
        <w:t>Introduction to the Torino Process 2025</w:t>
      </w:r>
      <w:bookmarkEnd w:id="1"/>
    </w:p>
    <w:p w14:paraId="441F9522" w14:textId="77777777" w:rsidR="0013182F" w:rsidRDefault="0013182F" w:rsidP="000E61A5">
      <w:pPr>
        <w:pStyle w:val="Heading2"/>
      </w:pPr>
      <w:bookmarkStart w:id="2" w:name="_Toc198827562"/>
    </w:p>
    <w:p w14:paraId="5D56ED54" w14:textId="221CC0DD" w:rsidR="000E61A5" w:rsidRPr="00215F99" w:rsidRDefault="000E61A5" w:rsidP="000E61A5">
      <w:pPr>
        <w:pStyle w:val="Heading2"/>
      </w:pPr>
      <w:r w:rsidRPr="00215F99">
        <w:t>Institutional context: monitoring at the ETF</w:t>
      </w:r>
      <w:bookmarkEnd w:id="2"/>
    </w:p>
    <w:p w14:paraId="6ADB8921" w14:textId="77777777" w:rsidR="000E61A5" w:rsidRPr="00215F99" w:rsidRDefault="000E61A5" w:rsidP="000E61A5">
      <w:pPr>
        <w:pStyle w:val="BodyText"/>
      </w:pPr>
      <w:r w:rsidRPr="00215F99">
        <w:t>Each year, the ETF gathers and analyses information and data to monitor developments in education, skills, and employment in all its partner countries. The results help to understand what is working well and what needs improvement, and they also support countries in making informed decisions on how to manage and adapt their policies in support of vocational education and training (VET) and lifelong learning.</w:t>
      </w:r>
    </w:p>
    <w:p w14:paraId="03289A1F" w14:textId="77777777" w:rsidR="000E61A5" w:rsidRPr="00215F99" w:rsidRDefault="000E61A5" w:rsidP="000E61A5">
      <w:pPr>
        <w:pStyle w:val="BodyText"/>
      </w:pPr>
      <w:r w:rsidRPr="00215F99">
        <w:t>The ETF has three complementary monitoring initiatives: the KIESE (Key Indicators on Education, Skills, and Employment) data collection, the Torino Process, and monitoring under the Copenhagen Process as a flagship EU initiative in VET.</w:t>
      </w:r>
    </w:p>
    <w:p w14:paraId="47AD56BA" w14:textId="77777777" w:rsidR="000E61A5" w:rsidRPr="000E61A5" w:rsidRDefault="000E61A5" w:rsidP="000E61A5">
      <w:pPr>
        <w:pStyle w:val="Heading3"/>
        <w:rPr>
          <w:lang w:val="en-US"/>
        </w:rPr>
      </w:pPr>
      <w:bookmarkStart w:id="3" w:name="_Toc198827563"/>
      <w:r w:rsidRPr="000E61A5">
        <w:rPr>
          <w:lang w:val="en-US"/>
        </w:rPr>
        <w:t>KIESE data collection</w:t>
      </w:r>
      <w:bookmarkEnd w:id="3"/>
    </w:p>
    <w:p w14:paraId="5FE4F1A4" w14:textId="77777777" w:rsidR="000E61A5" w:rsidRPr="00215F99" w:rsidRDefault="000E61A5" w:rsidP="000E61A5">
      <w:pPr>
        <w:pStyle w:val="BodyText"/>
      </w:pPr>
      <w:r w:rsidRPr="00215F99">
        <w:t xml:space="preserve">The KIESE data collection forms the quantitative backbone of all ETF monitoring activities. In close cooperation with international partners and national statistical offices, each year the ETF compiles a comprehensive dataset from national and international sources like UNESCO, Eurostat, and OECD, and uses that data for reporting on trends and developments in education, skills and employment. </w:t>
      </w:r>
    </w:p>
    <w:p w14:paraId="6D1709C6" w14:textId="77777777" w:rsidR="000E61A5" w:rsidRPr="000E61A5" w:rsidRDefault="000E61A5" w:rsidP="000E61A5">
      <w:pPr>
        <w:pStyle w:val="Heading3"/>
        <w:rPr>
          <w:lang w:val="en-US"/>
        </w:rPr>
      </w:pPr>
      <w:bookmarkStart w:id="4" w:name="_Toc198827564"/>
      <w:r w:rsidRPr="000E61A5">
        <w:rPr>
          <w:lang w:val="en-US"/>
        </w:rPr>
        <w:t>Torino Process</w:t>
      </w:r>
      <w:bookmarkEnd w:id="4"/>
    </w:p>
    <w:p w14:paraId="27DEF208" w14:textId="77777777" w:rsidR="000E61A5" w:rsidRPr="00215F99" w:rsidRDefault="000E61A5" w:rsidP="000E61A5">
      <w:pPr>
        <w:pStyle w:val="BodyText"/>
      </w:pPr>
      <w:r w:rsidRPr="00215F99">
        <w:t>The Torino Process (TRP) is a long-standing flagship initiative of the European Training Foundation (ETF) which tracks developments in education, skills, and employment in countries of East and South-East Europe (including Türkiye), Central Asia, and the South and East Mediterranean.</w:t>
      </w:r>
    </w:p>
    <w:p w14:paraId="2EF7F58C" w14:textId="77777777" w:rsidR="000E61A5" w:rsidRPr="00215F99" w:rsidRDefault="000E61A5" w:rsidP="000E61A5">
      <w:pPr>
        <w:pStyle w:val="BodyText"/>
      </w:pPr>
      <w:r w:rsidRPr="00215F99">
        <w:t>Since 2023, the monitoring framework of the Torino Process cherry-picks a subset of KIESE indicators, aggregates them into “system performance indices”, and combines them with qualitative evidence to tracks how well the VET systems of partner countries deliver on key commitments to learners, such as access, quality, relevance, system efficiency.</w:t>
      </w:r>
    </w:p>
    <w:p w14:paraId="7993D120" w14:textId="77777777" w:rsidR="000E61A5" w:rsidRPr="00215F99" w:rsidRDefault="000E61A5" w:rsidP="000E61A5">
      <w:pPr>
        <w:pStyle w:val="BodyText"/>
      </w:pPr>
      <w:r w:rsidRPr="00215F99">
        <w:t>In addition, the Torino Process provides countries with a possibility to engage in voluntary reviews of their VET policies. The purpose of the reviews is to help contextualise the monitoring results and identify ways to improve the performance of VET through targeted policy interventions.</w:t>
      </w:r>
    </w:p>
    <w:p w14:paraId="36CAAD97" w14:textId="77777777" w:rsidR="000E61A5" w:rsidRPr="00215F99" w:rsidRDefault="000E61A5" w:rsidP="000E61A5">
      <w:pPr>
        <w:pStyle w:val="BodyText"/>
      </w:pPr>
      <w:r w:rsidRPr="00215F99">
        <w:t>The two strands of the Torino Process are described in the next section of these Guidelines.</w:t>
      </w:r>
    </w:p>
    <w:p w14:paraId="1872422A" w14:textId="77777777" w:rsidR="000E61A5" w:rsidRPr="000E61A5" w:rsidRDefault="000E61A5" w:rsidP="000E61A5">
      <w:pPr>
        <w:pStyle w:val="Heading3"/>
        <w:rPr>
          <w:lang w:val="en-US"/>
        </w:rPr>
      </w:pPr>
      <w:bookmarkStart w:id="5" w:name="_Toc198827565"/>
      <w:r w:rsidRPr="000E61A5">
        <w:rPr>
          <w:lang w:val="en-US"/>
        </w:rPr>
        <w:t>Copenhagen process</w:t>
      </w:r>
      <w:bookmarkEnd w:id="5"/>
    </w:p>
    <w:p w14:paraId="72610398" w14:textId="77777777" w:rsidR="000E61A5" w:rsidRPr="00215F99" w:rsidRDefault="000E61A5" w:rsidP="000E61A5">
      <w:pPr>
        <w:pStyle w:val="BodyText"/>
      </w:pPr>
      <w:r w:rsidRPr="00215F99">
        <w:t>Some of the ETF partner countries are EU candidate countries. ETF supports this group of countries in implementing important EU initiatives in VET, such as the Copenhagen Process.</w:t>
      </w:r>
    </w:p>
    <w:p w14:paraId="0ED3E338" w14:textId="77777777" w:rsidR="000E61A5" w:rsidRPr="00215F99" w:rsidRDefault="000E61A5" w:rsidP="000E61A5">
      <w:pPr>
        <w:pStyle w:val="BodyText"/>
      </w:pPr>
      <w:r w:rsidRPr="00215F99">
        <w:t>The Copenhagen Process is a long-standing structured framework established in 2002 for voluntary international cooperation in VET, with the purpose of fostering the development of high-quality, inclusive, and flexible VET systems across Europe. The current monitoring cycle, initiated with the Osnabrück Declaration in 2020, emphasises a selection of priorities, namely sustainable competitiveness, social fairness, resilience, lifelong learning, digital transformation, and alignment of VET with the green transition. Albania, Montenegro, North Macedonia, Serbia, and Türkiye have signed the declaration, and ETF systematically monitors their progress, closely cooperating with its sister agency, CEDEFOP.</w:t>
      </w:r>
    </w:p>
    <w:p w14:paraId="71C09EB4" w14:textId="77777777" w:rsidR="000E61A5" w:rsidRPr="00215F99" w:rsidRDefault="000E61A5" w:rsidP="000E61A5">
      <w:pPr>
        <w:pStyle w:val="BodyText"/>
      </w:pPr>
      <w:r w:rsidRPr="00215F99">
        <w:t>In September 2025, a new declaration will be signed under the Danish Presidency, launching a new monitoring cycle that will run until 2030.</w:t>
      </w:r>
    </w:p>
    <w:p w14:paraId="0595448C" w14:textId="77777777" w:rsidR="000E61A5" w:rsidRPr="000E61A5" w:rsidRDefault="000E61A5" w:rsidP="000E61A5">
      <w:pPr>
        <w:pStyle w:val="Heading3"/>
        <w:rPr>
          <w:lang w:val="en-US"/>
        </w:rPr>
      </w:pPr>
      <w:bookmarkStart w:id="6" w:name="_Toc198827566"/>
      <w:r w:rsidRPr="000E61A5">
        <w:rPr>
          <w:lang w:val="en-US"/>
        </w:rPr>
        <w:lastRenderedPageBreak/>
        <w:t>Monitoring deliverables</w:t>
      </w:r>
      <w:bookmarkEnd w:id="6"/>
    </w:p>
    <w:p w14:paraId="4A736ABA" w14:textId="77777777" w:rsidR="000E61A5" w:rsidRPr="00215F99" w:rsidRDefault="000E61A5" w:rsidP="000E61A5">
      <w:pPr>
        <w:pStyle w:val="BodyText"/>
      </w:pPr>
      <w:r w:rsidRPr="00215F99">
        <w:t>The KIESE and Torino Process monitoring activities produce deliverables in three main categories: country-level reporting, cross-country reporting, and thematic reporting.</w:t>
      </w:r>
    </w:p>
    <w:p w14:paraId="48D2406E" w14:textId="77777777" w:rsidR="000E61A5" w:rsidRPr="00215F99" w:rsidRDefault="000E61A5" w:rsidP="000E61A5">
      <w:pPr>
        <w:pStyle w:val="BodyText"/>
      </w:pPr>
      <w:r w:rsidRPr="00215F99">
        <w:t xml:space="preserve">The </w:t>
      </w:r>
      <w:r w:rsidRPr="00215F99">
        <w:rPr>
          <w:b/>
          <w:bCs/>
        </w:rPr>
        <w:t>country reporting</w:t>
      </w:r>
      <w:r w:rsidRPr="00215F99">
        <w:t xml:space="preserve"> currently includes two deliverables for each country: a country fiche and a Torino Process monitoring report. From 2025 onwards, these two outputs will be </w:t>
      </w:r>
      <w:r w:rsidRPr="00215F99">
        <w:rPr>
          <w:b/>
          <w:bCs/>
        </w:rPr>
        <w:t>integrated into a single country fiche</w:t>
      </w:r>
      <w:r w:rsidRPr="00215F99">
        <w:t xml:space="preserve"> that presents the annual monitoring results for each country covering education, skills, and employment.</w:t>
      </w:r>
    </w:p>
    <w:p w14:paraId="44FE9427" w14:textId="77777777" w:rsidR="000E61A5" w:rsidRPr="00215F99" w:rsidRDefault="000E61A5" w:rsidP="000E61A5">
      <w:pPr>
        <w:pStyle w:val="BodyText"/>
      </w:pPr>
      <w:r w:rsidRPr="00215F99">
        <w:t>In addition, each year the ETF publishes a small number of Torino Process policy review reports. These reports analyse how policies affect VET system performance in a given country, and they provide recommendations for improvement.</w:t>
      </w:r>
    </w:p>
    <w:p w14:paraId="75866DFD" w14:textId="77777777" w:rsidR="000E61A5" w:rsidRPr="00215F99" w:rsidRDefault="000E61A5" w:rsidP="000E61A5">
      <w:pPr>
        <w:pStyle w:val="BodyText"/>
      </w:pPr>
      <w:r w:rsidRPr="00215F99">
        <w:t xml:space="preserve">The </w:t>
      </w:r>
      <w:r w:rsidRPr="00215F99">
        <w:rPr>
          <w:b/>
          <w:bCs/>
        </w:rPr>
        <w:t>cross-country reporting</w:t>
      </w:r>
      <w:r w:rsidRPr="00215F99">
        <w:t xml:space="preserve"> summarises the monitoring results for all countries from a comparative perspective, and maps regional and cross-country trends and developments. </w:t>
      </w:r>
    </w:p>
    <w:p w14:paraId="41366A3D" w14:textId="77777777" w:rsidR="000E61A5" w:rsidRPr="00215F99" w:rsidRDefault="000E61A5" w:rsidP="000E61A5">
      <w:pPr>
        <w:pStyle w:val="BodyText"/>
      </w:pPr>
      <w:r w:rsidRPr="00215F99">
        <w:t xml:space="preserve">Finally, the </w:t>
      </w:r>
      <w:r w:rsidRPr="00215F99">
        <w:rPr>
          <w:b/>
          <w:bCs/>
        </w:rPr>
        <w:t>thematic reports</w:t>
      </w:r>
      <w:r w:rsidRPr="00215F99">
        <w:t xml:space="preserve"> use selected subsets of KIESE and Torino Process data to examine specific cross-country issues in greater detail, often focusing on particular groups or characteristics, such as gender, socioeconomic disadvantage, or the availability of evidence.</w:t>
      </w:r>
    </w:p>
    <w:p w14:paraId="5F966C37" w14:textId="77777777" w:rsidR="000E61A5" w:rsidRPr="00215F99" w:rsidRDefault="000E61A5" w:rsidP="000E61A5">
      <w:pPr>
        <w:pStyle w:val="BodyText"/>
      </w:pPr>
      <w:r w:rsidRPr="00215F99">
        <w:t xml:space="preserve">For the five EU candidate countries - Albania, Montenegro, North Macedonia, Serbia, and Türkiye – the ETF produces also </w:t>
      </w:r>
      <w:r w:rsidRPr="00215F99">
        <w:rPr>
          <w:b/>
          <w:bCs/>
        </w:rPr>
        <w:t>Copenhagen-Process-specific deliverables</w:t>
      </w:r>
      <w:r w:rsidRPr="00215F99">
        <w:t>: concise monitoring summaries detailing policy developments and progress towards the priorities defined in the Osnabrück Declaration. Summaries covering developments in 2021–2022 and 2023 have already been published, and updates for 2024–2025 will be available by the end of 2025. These summaries build on evidence collected for the purpose, but also on KIESE and Torino Process indices and indicators. However, the results are published separately due to the specific EU-level mandate of the Copenhagen Process.</w:t>
      </w:r>
    </w:p>
    <w:p w14:paraId="28C273D1" w14:textId="77777777" w:rsidR="000E61A5" w:rsidRPr="00215F99" w:rsidRDefault="000E61A5" w:rsidP="000E61A5">
      <w:pPr>
        <w:pStyle w:val="Heading2"/>
      </w:pPr>
      <w:bookmarkStart w:id="7" w:name="_Toc198827567"/>
      <w:r w:rsidRPr="00215F99">
        <w:t>Conceptual context: a dual framework</w:t>
      </w:r>
      <w:bookmarkEnd w:id="7"/>
    </w:p>
    <w:p w14:paraId="46E1D9BD" w14:textId="77777777" w:rsidR="000E61A5" w:rsidRPr="00215F99" w:rsidRDefault="000E61A5" w:rsidP="000E61A5">
      <w:pPr>
        <w:pStyle w:val="BodyText"/>
      </w:pPr>
      <w:r w:rsidRPr="00215F99">
        <w:t>Since its inception in 2010, the Torino Process has established itself as a valuable repository of country-specific information and data, especially on VET. To reinforce this value for stakeholders and partners, in 2023 the ETF expanded the focus of the Torino Process to include not only the documentation of policies across countries, but also the monitoring of what these policies deliver to learners, in a context of profound technological, socio-economic, and geopolitical changes.</w:t>
      </w:r>
    </w:p>
    <w:p w14:paraId="616B0611" w14:textId="77777777" w:rsidR="000E61A5" w:rsidRPr="00215F99" w:rsidRDefault="000E61A5" w:rsidP="000E61A5">
      <w:pPr>
        <w:pStyle w:val="BodyText"/>
      </w:pPr>
      <w:r w:rsidRPr="00215F99">
        <w:t>In line with this dual focus, since 2023 the analytical framework of the Torino Process has been organised into two complementary strands of evidence collection and interpretation:</w:t>
      </w:r>
    </w:p>
    <w:p w14:paraId="61D4B548" w14:textId="77777777" w:rsidR="000E61A5" w:rsidRPr="00215F99" w:rsidRDefault="000E61A5" w:rsidP="000E61A5">
      <w:pPr>
        <w:pStyle w:val="BodyText"/>
        <w:numPr>
          <w:ilvl w:val="0"/>
          <w:numId w:val="37"/>
        </w:numPr>
        <w:rPr>
          <w:i/>
          <w:iCs/>
        </w:rPr>
      </w:pPr>
      <w:r w:rsidRPr="00215F99">
        <w:rPr>
          <w:b/>
          <w:bCs/>
        </w:rPr>
        <w:t>Monitoring strand:</w:t>
      </w:r>
      <w:r w:rsidRPr="00215F99">
        <w:t xml:space="preserve"> tracks system performance, understood as the extent to which VET and adult learning systems deliver on a targeted selection of commitments to learners and other stakeholders in support of lifelong learning. </w:t>
      </w:r>
      <w:r w:rsidRPr="00215F99">
        <w:rPr>
          <w:i/>
          <w:iCs/>
        </w:rPr>
        <w:t>(Guiding question: How well do education and training systems perform in delivering to learners and other stakeholders?)</w:t>
      </w:r>
    </w:p>
    <w:p w14:paraId="383B75B5" w14:textId="77777777" w:rsidR="000E61A5" w:rsidRPr="00215F99" w:rsidRDefault="000E61A5" w:rsidP="000E61A5">
      <w:pPr>
        <w:pStyle w:val="BodyText"/>
        <w:numPr>
          <w:ilvl w:val="0"/>
          <w:numId w:val="37"/>
        </w:numPr>
      </w:pPr>
      <w:r w:rsidRPr="00215F99">
        <w:rPr>
          <w:b/>
          <w:bCs/>
        </w:rPr>
        <w:t>Review strand:</w:t>
      </w:r>
      <w:r w:rsidRPr="00215F99">
        <w:t xml:space="preserve"> documents and analyses policies and arrangements in VET which may influence system performance. (Guiding question: Which policies and arrangements help explain system performance, and in what ways do they influence the areas monitored?)</w:t>
      </w:r>
    </w:p>
    <w:p w14:paraId="5C1F5F78" w14:textId="77777777" w:rsidR="000E61A5" w:rsidRPr="00215F99" w:rsidRDefault="000E61A5" w:rsidP="000E61A5">
      <w:pPr>
        <w:pStyle w:val="BodyText"/>
      </w:pPr>
      <w:r w:rsidRPr="00215F99">
        <w:t xml:space="preserve">The two strands of the Torino Process differ not only by the question they address, but also operationally, by modality of country participation, type of evidence and evidence collection method, and deliverables. </w:t>
      </w:r>
    </w:p>
    <w:p w14:paraId="3A9E59B5" w14:textId="77777777" w:rsidR="000E61A5" w:rsidRPr="00215F99" w:rsidRDefault="000E61A5" w:rsidP="000E61A5">
      <w:pPr>
        <w:pStyle w:val="BodyText"/>
      </w:pPr>
      <w:r w:rsidRPr="00215F99">
        <w:t>The table below summarises these operational aspects for each strand.</w:t>
      </w:r>
    </w:p>
    <w:p w14:paraId="4A7B439A" w14:textId="77777777" w:rsidR="0013182F" w:rsidRDefault="0013182F" w:rsidP="000E61A5">
      <w:pPr>
        <w:pStyle w:val="TableTitle"/>
      </w:pPr>
    </w:p>
    <w:p w14:paraId="484B0CB8" w14:textId="77777777" w:rsidR="0013182F" w:rsidRDefault="0013182F" w:rsidP="000E61A5">
      <w:pPr>
        <w:pStyle w:val="TableTitle"/>
      </w:pPr>
    </w:p>
    <w:p w14:paraId="67E449CC" w14:textId="2E8891B8" w:rsidR="000E61A5" w:rsidRPr="00215F99" w:rsidRDefault="000E61A5" w:rsidP="000E61A5">
      <w:pPr>
        <w:pStyle w:val="TableTitle"/>
      </w:pPr>
      <w:r w:rsidRPr="00215F99">
        <w:lastRenderedPageBreak/>
        <w:t>Table 1. Operational aspects of the dual Torino Process 2025 architecture, by strand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3"/>
        <w:gridCol w:w="3827"/>
        <w:gridCol w:w="3400"/>
      </w:tblGrid>
      <w:tr w:rsidR="000E61A5" w:rsidRPr="00215F99" w14:paraId="0421C92E" w14:textId="77777777" w:rsidTr="00717966">
        <w:trPr>
          <w:trHeight w:val="502"/>
          <w:tblHeader/>
          <w:tblCellSpacing w:w="15" w:type="dxa"/>
        </w:trPr>
        <w:tc>
          <w:tcPr>
            <w:tcW w:w="1798" w:type="dxa"/>
            <w:tcBorders>
              <w:top w:val="single" w:sz="12" w:space="0" w:color="0092BB" w:themeColor="text2"/>
              <w:bottom w:val="single" w:sz="12" w:space="0" w:color="0092BB" w:themeColor="text2"/>
            </w:tcBorders>
            <w:vAlign w:val="center"/>
            <w:hideMark/>
          </w:tcPr>
          <w:p w14:paraId="3BEFF72B" w14:textId="77777777" w:rsidR="000E61A5" w:rsidRPr="00215F99" w:rsidRDefault="000E61A5" w:rsidP="00717966">
            <w:pPr>
              <w:pStyle w:val="TableHeading"/>
            </w:pPr>
            <w:r w:rsidRPr="00215F99">
              <w:t>Operational aspect</w:t>
            </w:r>
          </w:p>
        </w:tc>
        <w:tc>
          <w:tcPr>
            <w:tcW w:w="3797" w:type="dxa"/>
            <w:tcBorders>
              <w:top w:val="single" w:sz="12" w:space="0" w:color="0092BB" w:themeColor="text2"/>
              <w:left w:val="single" w:sz="8" w:space="0" w:color="BFBFBF" w:themeColor="background1" w:themeShade="BF"/>
              <w:bottom w:val="single" w:sz="12" w:space="0" w:color="0092BB" w:themeColor="text2"/>
              <w:right w:val="single" w:sz="8" w:space="0" w:color="BFBFBF" w:themeColor="background1" w:themeShade="BF"/>
            </w:tcBorders>
            <w:vAlign w:val="center"/>
            <w:hideMark/>
          </w:tcPr>
          <w:p w14:paraId="7FEA0136" w14:textId="77777777" w:rsidR="000E61A5" w:rsidRPr="00215F99" w:rsidRDefault="000E61A5" w:rsidP="00717966">
            <w:pPr>
              <w:pStyle w:val="TableHeading"/>
            </w:pPr>
            <w:r w:rsidRPr="00215F99">
              <w:t>Torino Process monitoring strand</w:t>
            </w:r>
          </w:p>
        </w:tc>
        <w:tc>
          <w:tcPr>
            <w:tcW w:w="3355" w:type="dxa"/>
            <w:tcBorders>
              <w:top w:val="single" w:sz="12" w:space="0" w:color="0092BB" w:themeColor="text2"/>
              <w:bottom w:val="single" w:sz="12" w:space="0" w:color="0092BB" w:themeColor="text2"/>
            </w:tcBorders>
            <w:vAlign w:val="center"/>
            <w:hideMark/>
          </w:tcPr>
          <w:p w14:paraId="4F3D7797" w14:textId="77777777" w:rsidR="000E61A5" w:rsidRPr="00215F99" w:rsidRDefault="000E61A5" w:rsidP="00717966">
            <w:pPr>
              <w:pStyle w:val="TableHeading"/>
            </w:pPr>
            <w:r w:rsidRPr="00215F99">
              <w:t>Torino Process review strand</w:t>
            </w:r>
          </w:p>
        </w:tc>
      </w:tr>
      <w:tr w:rsidR="000E61A5" w:rsidRPr="00215F99" w14:paraId="0A8EFEF6" w14:textId="77777777" w:rsidTr="00717966">
        <w:trPr>
          <w:trHeight w:val="612"/>
          <w:tblCellSpacing w:w="15" w:type="dxa"/>
        </w:trPr>
        <w:tc>
          <w:tcPr>
            <w:tcW w:w="1798" w:type="dxa"/>
            <w:tcBorders>
              <w:bottom w:val="single" w:sz="8" w:space="0" w:color="BFBFBF" w:themeColor="background1" w:themeShade="BF"/>
            </w:tcBorders>
            <w:vAlign w:val="center"/>
            <w:hideMark/>
          </w:tcPr>
          <w:p w14:paraId="1F2F9DB7" w14:textId="77777777" w:rsidR="000E61A5" w:rsidRPr="00215F99" w:rsidRDefault="000E61A5" w:rsidP="00717966">
            <w:pPr>
              <w:pStyle w:val="TableFirstColumn"/>
            </w:pPr>
            <w:r w:rsidRPr="00215F99">
              <w:t xml:space="preserve">Scope and modality of participation </w:t>
            </w:r>
          </w:p>
        </w:tc>
        <w:tc>
          <w:tcPr>
            <w:tcW w:w="3797" w:type="dxa"/>
            <w:tcBorders>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00C22B35" w14:textId="77777777" w:rsidR="000E61A5" w:rsidRPr="00215F99" w:rsidRDefault="000E61A5" w:rsidP="00717966">
            <w:pPr>
              <w:pStyle w:val="TableText"/>
            </w:pPr>
            <w:r w:rsidRPr="00215F99">
              <w:t xml:space="preserve">All partner countries, </w:t>
            </w:r>
            <w:r w:rsidRPr="00215F99">
              <w:rPr>
                <w:b/>
                <w:bCs/>
              </w:rPr>
              <w:t>every year</w:t>
            </w:r>
            <w:r w:rsidRPr="00215F99">
              <w:t>, desk-based implementation</w:t>
            </w:r>
          </w:p>
        </w:tc>
        <w:tc>
          <w:tcPr>
            <w:tcW w:w="3355" w:type="dxa"/>
            <w:tcBorders>
              <w:bottom w:val="single" w:sz="8" w:space="0" w:color="BFBFBF" w:themeColor="background1" w:themeShade="BF"/>
            </w:tcBorders>
            <w:vAlign w:val="center"/>
            <w:hideMark/>
          </w:tcPr>
          <w:p w14:paraId="34004CCC" w14:textId="77777777" w:rsidR="000E61A5" w:rsidRPr="00215F99" w:rsidRDefault="000E61A5" w:rsidP="00717966">
            <w:pPr>
              <w:pStyle w:val="TableText"/>
            </w:pPr>
            <w:r w:rsidRPr="00215F99">
              <w:t xml:space="preserve">2–3 volunteering countries, </w:t>
            </w:r>
            <w:r w:rsidRPr="00215F99">
              <w:rPr>
                <w:b/>
                <w:bCs/>
              </w:rPr>
              <w:t>every year</w:t>
            </w:r>
            <w:r w:rsidRPr="00215F99">
              <w:t>, field-based (in-country) implementation</w:t>
            </w:r>
          </w:p>
        </w:tc>
      </w:tr>
      <w:tr w:rsidR="000E61A5" w:rsidRPr="00215F99" w14:paraId="2A09B3E5" w14:textId="77777777" w:rsidTr="00717966">
        <w:trPr>
          <w:trHeight w:val="718"/>
          <w:tblCellSpacing w:w="15" w:type="dxa"/>
        </w:trPr>
        <w:tc>
          <w:tcPr>
            <w:tcW w:w="1798" w:type="dxa"/>
            <w:vAlign w:val="center"/>
            <w:hideMark/>
          </w:tcPr>
          <w:p w14:paraId="2AD7E1F9" w14:textId="77777777" w:rsidR="000E61A5" w:rsidRPr="00215F99" w:rsidRDefault="000E61A5" w:rsidP="00717966">
            <w:pPr>
              <w:pStyle w:val="TableFirstColumn"/>
            </w:pPr>
            <w:r w:rsidRPr="00215F99">
              <w:t>Evidence method</w:t>
            </w:r>
          </w:p>
        </w:tc>
        <w:tc>
          <w:tcPr>
            <w:tcW w:w="3797" w:type="dxa"/>
            <w:tcBorders>
              <w:left w:val="single" w:sz="8" w:space="0" w:color="BFBFBF" w:themeColor="background1" w:themeShade="BF"/>
              <w:right w:val="single" w:sz="8" w:space="0" w:color="BFBFBF" w:themeColor="background1" w:themeShade="BF"/>
            </w:tcBorders>
            <w:vAlign w:val="center"/>
            <w:hideMark/>
          </w:tcPr>
          <w:p w14:paraId="3704CAF0" w14:textId="77777777" w:rsidR="000E61A5" w:rsidRPr="00215F99" w:rsidRDefault="000E61A5" w:rsidP="00717966">
            <w:pPr>
              <w:pStyle w:val="TableText"/>
            </w:pPr>
            <w:r w:rsidRPr="00215F99">
              <w:t>Indicator-based, quantitative monitoring</w:t>
            </w:r>
          </w:p>
        </w:tc>
        <w:tc>
          <w:tcPr>
            <w:tcW w:w="3355" w:type="dxa"/>
            <w:vAlign w:val="center"/>
            <w:hideMark/>
          </w:tcPr>
          <w:p w14:paraId="4DEA213B" w14:textId="77777777" w:rsidR="000E61A5" w:rsidRPr="00215F99" w:rsidRDefault="000E61A5" w:rsidP="00717966">
            <w:pPr>
              <w:pStyle w:val="TableText"/>
            </w:pPr>
            <w:r w:rsidRPr="00215F99">
              <w:t>Dialogue-rich, mixed-method review</w:t>
            </w:r>
          </w:p>
        </w:tc>
      </w:tr>
      <w:tr w:rsidR="000E61A5" w:rsidRPr="00215F99" w14:paraId="4438D885" w14:textId="77777777" w:rsidTr="00717966">
        <w:trPr>
          <w:trHeight w:val="662"/>
          <w:tblCellSpacing w:w="15" w:type="dxa"/>
        </w:trPr>
        <w:tc>
          <w:tcPr>
            <w:tcW w:w="1798" w:type="dxa"/>
            <w:tcBorders>
              <w:top w:val="single" w:sz="8" w:space="0" w:color="BFBFBF" w:themeColor="background1" w:themeShade="BF"/>
              <w:bottom w:val="single" w:sz="12" w:space="0" w:color="0092BB" w:themeColor="text2"/>
            </w:tcBorders>
            <w:vAlign w:val="center"/>
            <w:hideMark/>
          </w:tcPr>
          <w:p w14:paraId="51471B67" w14:textId="77777777" w:rsidR="000E61A5" w:rsidRPr="00215F99" w:rsidRDefault="000E61A5" w:rsidP="00717966">
            <w:pPr>
              <w:pStyle w:val="TableFirstColumn"/>
            </w:pPr>
            <w:r w:rsidRPr="00215F99">
              <w:t>Deliverables</w:t>
            </w:r>
          </w:p>
        </w:tc>
        <w:tc>
          <w:tcPr>
            <w:tcW w:w="3797" w:type="dxa"/>
            <w:tcBorders>
              <w:top w:val="single" w:sz="8" w:space="0" w:color="BFBFBF" w:themeColor="background1" w:themeShade="BF"/>
              <w:left w:val="single" w:sz="8" w:space="0" w:color="BFBFBF" w:themeColor="background1" w:themeShade="BF"/>
              <w:bottom w:val="single" w:sz="12" w:space="0" w:color="0092BB" w:themeColor="text2"/>
              <w:right w:val="single" w:sz="8" w:space="0" w:color="BFBFBF" w:themeColor="background1" w:themeShade="BF"/>
            </w:tcBorders>
            <w:vAlign w:val="center"/>
            <w:hideMark/>
          </w:tcPr>
          <w:p w14:paraId="2FF315A3" w14:textId="77777777" w:rsidR="000E61A5" w:rsidRPr="00215F99" w:rsidRDefault="000E61A5" w:rsidP="00717966">
            <w:pPr>
              <w:pStyle w:val="TableText"/>
            </w:pPr>
            <w:r w:rsidRPr="00215F99">
              <w:t>Dashboard with system performance indices; monitoring briefs; cross-country monitoring report</w:t>
            </w:r>
          </w:p>
        </w:tc>
        <w:tc>
          <w:tcPr>
            <w:tcW w:w="3355" w:type="dxa"/>
            <w:tcBorders>
              <w:top w:val="single" w:sz="8" w:space="0" w:color="BFBFBF" w:themeColor="background1" w:themeShade="BF"/>
              <w:bottom w:val="single" w:sz="12" w:space="0" w:color="0092BB" w:themeColor="text2"/>
            </w:tcBorders>
            <w:vAlign w:val="center"/>
            <w:hideMark/>
          </w:tcPr>
          <w:p w14:paraId="1B91D22D" w14:textId="77777777" w:rsidR="000E61A5" w:rsidRPr="00215F99" w:rsidRDefault="000E61A5" w:rsidP="00717966">
            <w:pPr>
              <w:pStyle w:val="TableText"/>
            </w:pPr>
            <w:r w:rsidRPr="00215F99">
              <w:t>In-depth country report, developed through stakeholder consultations and workshops</w:t>
            </w:r>
          </w:p>
        </w:tc>
      </w:tr>
    </w:tbl>
    <w:p w14:paraId="53D74DCB" w14:textId="77777777" w:rsidR="000E61A5" w:rsidRPr="00215F99" w:rsidRDefault="000E61A5" w:rsidP="000E61A5">
      <w:pPr>
        <w:pStyle w:val="BodyText"/>
        <w:spacing w:before="240"/>
      </w:pPr>
      <w:r w:rsidRPr="00215F99">
        <w:rPr>
          <w:b/>
          <w:bCs/>
        </w:rPr>
        <w:t>The monitoring strand</w:t>
      </w:r>
      <w:r w:rsidRPr="00215F99">
        <w:t xml:space="preserve"> of the Torino Process involves all partner countries annually through a desk-based implementation approach. Evidence is collected using an indicator-based quantitative methodology to produce system performance indices and standardised deliverables, such as dashboards, brief monitoring reports, and an overarching cross-country monitoring report.</w:t>
      </w:r>
    </w:p>
    <w:p w14:paraId="05D038AB" w14:textId="77777777" w:rsidR="000E61A5" w:rsidRPr="00215F99" w:rsidRDefault="000E61A5" w:rsidP="000E61A5">
      <w:pPr>
        <w:pStyle w:val="BodyText"/>
      </w:pPr>
      <w:r w:rsidRPr="00215F99">
        <w:rPr>
          <w:b/>
          <w:bCs/>
        </w:rPr>
        <w:t>The review strand</w:t>
      </w:r>
      <w:r w:rsidRPr="00215F99">
        <w:t>, on the other hand, engages two to three volunteering countries per year, using a field-based (in-country) policy review approach which replicates the dialogue-rich, stakeholder-driven, mixed-method evidence collection and interpretation, which was a hallmark of the classic Torino Process between 2010 and 2022. This strand produces in-depth, country-specific reports developed collaboratively with national stakeholders through tailored reviews of policies and their implementation.</w:t>
      </w:r>
    </w:p>
    <w:p w14:paraId="201ABC62" w14:textId="77777777" w:rsidR="000E61A5" w:rsidRPr="00215F99" w:rsidRDefault="000E61A5" w:rsidP="000E61A5">
      <w:pPr>
        <w:pStyle w:val="BodyText"/>
        <w:spacing w:before="240"/>
        <w:rPr>
          <w:b/>
          <w:bCs/>
        </w:rPr>
      </w:pPr>
      <w:r w:rsidRPr="00215F99">
        <w:t>The 2025 edition of the Torino Process continues with this approach, with some minor modifications. The next sections provide an overview of each strand: of the purpose, focus, methodology, and modalities of implementation of each, as well as the deliverables foreseen.</w:t>
      </w:r>
    </w:p>
    <w:p w14:paraId="3CB9C149" w14:textId="77777777" w:rsidR="000E61A5" w:rsidRPr="00215F99" w:rsidRDefault="000E61A5" w:rsidP="000E61A5">
      <w:pPr>
        <w:rPr>
          <w:b/>
          <w:bCs/>
          <w:color w:val="0092BB" w:themeColor="text2"/>
          <w:sz w:val="36"/>
          <w:szCs w:val="60"/>
        </w:rPr>
      </w:pPr>
      <w:bookmarkStart w:id="8" w:name="_TOC_250011"/>
      <w:bookmarkStart w:id="9" w:name="_Toc103265289"/>
      <w:r w:rsidRPr="00215F99">
        <w:br w:type="page"/>
      </w:r>
    </w:p>
    <w:p w14:paraId="3D38E483" w14:textId="77777777" w:rsidR="000E61A5" w:rsidRPr="00215F99" w:rsidRDefault="000E61A5" w:rsidP="000E61A5">
      <w:pPr>
        <w:pStyle w:val="Heading1"/>
      </w:pPr>
      <w:bookmarkStart w:id="10" w:name="_Toc198827568"/>
      <w:r w:rsidRPr="00215F99">
        <w:lastRenderedPageBreak/>
        <w:t>Torino Process monitoring strand</w:t>
      </w:r>
      <w:bookmarkEnd w:id="8"/>
      <w:bookmarkEnd w:id="9"/>
      <w:bookmarkEnd w:id="10"/>
    </w:p>
    <w:p w14:paraId="4AA34B02" w14:textId="77777777" w:rsidR="000E61A5" w:rsidRPr="00215F99" w:rsidRDefault="000E61A5" w:rsidP="000E61A5">
      <w:pPr>
        <w:pStyle w:val="Heading2"/>
      </w:pPr>
      <w:bookmarkStart w:id="11" w:name="_TOC_250010"/>
      <w:bookmarkStart w:id="12" w:name="_Toc198827569"/>
      <w:bookmarkStart w:id="13" w:name="_Toc103265290"/>
      <w:bookmarkEnd w:id="11"/>
      <w:r w:rsidRPr="00215F99">
        <w:t>Scope and focus</w:t>
      </w:r>
      <w:bookmarkEnd w:id="12"/>
    </w:p>
    <w:p w14:paraId="75816843" w14:textId="77777777" w:rsidR="000E61A5" w:rsidRPr="00215F99" w:rsidRDefault="000E61A5" w:rsidP="000E61A5">
      <w:pPr>
        <w:pStyle w:val="BodyText"/>
      </w:pPr>
      <w:r w:rsidRPr="00215F99">
        <w:t xml:space="preserve">The focus of the Torino Process monitoring strand is on the performance of education policies and systems, particularly the extent to which the VET system — i.e., the network of institutions, policies, actors, and resources that organise vocational learning in a country — delivers on a targeted selection of commitments to learners and other stakeholders in support of lifelong learning. </w:t>
      </w:r>
    </w:p>
    <w:p w14:paraId="0089B8B2" w14:textId="77777777" w:rsidR="000E61A5" w:rsidRPr="00215F99" w:rsidRDefault="000E61A5" w:rsidP="000E61A5">
      <w:pPr>
        <w:pStyle w:val="BodyText"/>
      </w:pPr>
      <w:r w:rsidRPr="00215F99">
        <w:t>The purpose is to provide decision-makers, practitioners, and stakeholders with reliable data on how well their education and training systems deliver what is expected. Experience from previous monitoring rounds suggests that, indeed, these results may facilitate informed decisions about policy improvement, resource allocation, strategy design, and follow-up analysis in support of lifelong learning.</w:t>
      </w:r>
    </w:p>
    <w:p w14:paraId="3E7F3CF0" w14:textId="77777777" w:rsidR="000E61A5" w:rsidRPr="00215F99" w:rsidRDefault="000E61A5" w:rsidP="000E61A5">
      <w:pPr>
        <w:pStyle w:val="BodyText"/>
      </w:pPr>
      <w:r w:rsidRPr="00215F99">
        <w:t>"Performance," in this context, refers to the extent to which the VET systems of countries deliver on a targeted selection of commitments to learners and other stakeholders in support of lifelong learning. “Lifelong learning” on the other hand refers to all learning activity undertaken throughout life, with the aim of improving knowledge, skills/competences and/or qualifications for personal, social and/or professional reasons.</w:t>
      </w:r>
    </w:p>
    <w:p w14:paraId="3251867A" w14:textId="77777777" w:rsidR="000E61A5" w:rsidRPr="00215F99" w:rsidRDefault="000E61A5" w:rsidP="000E61A5">
      <w:pPr>
        <w:pStyle w:val="BodyText"/>
      </w:pPr>
      <w:r w:rsidRPr="00215F99">
        <w:t>Designed to capture how effectively VET systems deliver on their commitments to learners and stakeholders, the Torino Process monitoring framework is built around a carefully defined set of commitments derived from national legislation and international agreements.</w:t>
      </w:r>
      <w:r w:rsidRPr="00215F99">
        <w:rPr>
          <w:rStyle w:val="FootnoteReference"/>
        </w:rPr>
        <w:footnoteReference w:id="1"/>
      </w:r>
      <w:r w:rsidRPr="00215F99">
        <w:t xml:space="preserve"> The commitments were selected for their relevance to diverse national contexts, reform trajectories, and policy priorities.</w:t>
      </w:r>
    </w:p>
    <w:p w14:paraId="7CA0B99A" w14:textId="77777777" w:rsidR="000E61A5" w:rsidRPr="00215F99" w:rsidRDefault="000E61A5" w:rsidP="000E61A5">
      <w:pPr>
        <w:pStyle w:val="BodyText"/>
        <w:spacing w:after="240"/>
      </w:pPr>
      <w:r w:rsidRPr="00215F99">
        <w:t>Across countries, education stakeholders typically expect VET systems to deliver on three major areas of commitment:</w:t>
      </w:r>
    </w:p>
    <w:p w14:paraId="3CFD4D7E" w14:textId="77777777" w:rsidR="000E61A5" w:rsidRPr="00215F99" w:rsidRDefault="000E61A5" w:rsidP="000E61A5">
      <w:pPr>
        <w:pStyle w:val="BodyText"/>
        <w:numPr>
          <w:ilvl w:val="0"/>
          <w:numId w:val="38"/>
        </w:numPr>
      </w:pPr>
      <w:r w:rsidRPr="00215F99">
        <w:rPr>
          <w:b/>
          <w:bCs/>
        </w:rPr>
        <w:t>Area A:</w:t>
      </w:r>
      <w:r w:rsidRPr="00215F99">
        <w:t xml:space="preserve"> Access </w:t>
      </w:r>
      <w:bookmarkStart w:id="14" w:name="_Hlk198636166"/>
      <w:r w:rsidRPr="00215F99">
        <w:t>(Ensuring broad and equitable access and participation)</w:t>
      </w:r>
    </w:p>
    <w:bookmarkEnd w:id="14"/>
    <w:p w14:paraId="5C92C10D" w14:textId="77777777" w:rsidR="000E61A5" w:rsidRPr="00215F99" w:rsidRDefault="000E61A5" w:rsidP="000E61A5">
      <w:pPr>
        <w:pStyle w:val="BodyText"/>
        <w:numPr>
          <w:ilvl w:val="0"/>
          <w:numId w:val="38"/>
        </w:numPr>
      </w:pPr>
      <w:r w:rsidRPr="00215F99">
        <w:rPr>
          <w:b/>
          <w:bCs/>
        </w:rPr>
        <w:t>Area B:</w:t>
      </w:r>
      <w:r w:rsidRPr="00215F99">
        <w:t xml:space="preserve"> Quality </w:t>
      </w:r>
      <w:bookmarkStart w:id="15" w:name="_Hlk198636179"/>
      <w:r w:rsidRPr="00215F99">
        <w:t>(Delivering high-quality and relevant learning)</w:t>
      </w:r>
    </w:p>
    <w:bookmarkEnd w:id="15"/>
    <w:p w14:paraId="0504E73E" w14:textId="77777777" w:rsidR="000E61A5" w:rsidRPr="00215F99" w:rsidRDefault="000E61A5" w:rsidP="000E61A5">
      <w:pPr>
        <w:pStyle w:val="BodyText"/>
        <w:numPr>
          <w:ilvl w:val="0"/>
          <w:numId w:val="38"/>
        </w:numPr>
      </w:pPr>
      <w:r w:rsidRPr="00215F99">
        <w:rPr>
          <w:b/>
          <w:bCs/>
        </w:rPr>
        <w:t>Area C:</w:t>
      </w:r>
      <w:r w:rsidRPr="00215F99">
        <w:t xml:space="preserve"> System organisation </w:t>
      </w:r>
      <w:bookmarkStart w:id="16" w:name="_Hlk198636189"/>
      <w:r w:rsidRPr="00215F99">
        <w:t>(Maintaining effective and efficient system organisation)</w:t>
      </w:r>
      <w:bookmarkEnd w:id="16"/>
    </w:p>
    <w:p w14:paraId="2827EEFF" w14:textId="77777777" w:rsidR="000E61A5" w:rsidRPr="00215F99" w:rsidRDefault="000E61A5" w:rsidP="000E61A5">
      <w:pPr>
        <w:pStyle w:val="BodyText"/>
        <w:spacing w:before="240" w:after="240"/>
      </w:pPr>
      <w:r w:rsidRPr="00215F99">
        <w:t>These broad areas are subdivided into six specific dimensions:</w:t>
      </w:r>
    </w:p>
    <w:p w14:paraId="1F086C54" w14:textId="77777777" w:rsidR="000E61A5" w:rsidRPr="00215F99" w:rsidRDefault="000E61A5" w:rsidP="000E61A5">
      <w:pPr>
        <w:pStyle w:val="BodyText"/>
        <w:numPr>
          <w:ilvl w:val="0"/>
          <w:numId w:val="39"/>
        </w:numPr>
      </w:pPr>
      <w:r w:rsidRPr="00215F99">
        <w:t xml:space="preserve">In Area A: </w:t>
      </w:r>
      <w:r w:rsidRPr="00215F99">
        <w:rPr>
          <w:b/>
          <w:bCs/>
        </w:rPr>
        <w:t>Dimension A.1</w:t>
      </w:r>
      <w:r w:rsidRPr="00215F99">
        <w:t xml:space="preserve"> (Access) and </w:t>
      </w:r>
      <w:r w:rsidRPr="00215F99">
        <w:rPr>
          <w:b/>
          <w:bCs/>
        </w:rPr>
        <w:t>Dimension A.2</w:t>
      </w:r>
      <w:r w:rsidRPr="00215F99">
        <w:t xml:space="preserve"> (Completion)</w:t>
      </w:r>
    </w:p>
    <w:p w14:paraId="21309521" w14:textId="77777777" w:rsidR="000E61A5" w:rsidRPr="00215F99" w:rsidRDefault="000E61A5" w:rsidP="000E61A5">
      <w:pPr>
        <w:pStyle w:val="BodyText"/>
        <w:numPr>
          <w:ilvl w:val="0"/>
          <w:numId w:val="39"/>
        </w:numPr>
      </w:pPr>
      <w:r w:rsidRPr="00215F99">
        <w:t xml:space="preserve">In Area B: </w:t>
      </w:r>
      <w:r w:rsidRPr="00215F99">
        <w:rPr>
          <w:b/>
          <w:bCs/>
        </w:rPr>
        <w:t>Dimension B.1</w:t>
      </w:r>
      <w:r w:rsidRPr="00215F99">
        <w:t xml:space="preserve"> (Quality and relevance) and </w:t>
      </w:r>
      <w:r w:rsidRPr="00215F99">
        <w:rPr>
          <w:b/>
          <w:bCs/>
        </w:rPr>
        <w:t>Dimension B.4</w:t>
      </w:r>
      <w:r w:rsidRPr="00215F99">
        <w:t xml:space="preserve"> (Responsiveness)</w:t>
      </w:r>
    </w:p>
    <w:p w14:paraId="5FD5D8D2" w14:textId="77777777" w:rsidR="000E61A5" w:rsidRPr="00215F99" w:rsidRDefault="000E61A5" w:rsidP="000E61A5">
      <w:pPr>
        <w:pStyle w:val="BodyText"/>
        <w:numPr>
          <w:ilvl w:val="0"/>
          <w:numId w:val="39"/>
        </w:numPr>
      </w:pPr>
      <w:r w:rsidRPr="00215F99">
        <w:t xml:space="preserve">In Area C: </w:t>
      </w:r>
      <w:r w:rsidRPr="00215F99">
        <w:rPr>
          <w:b/>
          <w:bCs/>
        </w:rPr>
        <w:t xml:space="preserve">Dimension C.1 </w:t>
      </w:r>
      <w:r w:rsidRPr="00215F99">
        <w:t xml:space="preserve">(System steering and management) and </w:t>
      </w:r>
      <w:r w:rsidRPr="00215F99">
        <w:rPr>
          <w:b/>
          <w:bCs/>
        </w:rPr>
        <w:t>Dimension C.2</w:t>
      </w:r>
      <w:r w:rsidRPr="00215F99">
        <w:t xml:space="preserve"> (Resourcing)</w:t>
      </w:r>
    </w:p>
    <w:p w14:paraId="29EBD538" w14:textId="77777777" w:rsidR="000E61A5" w:rsidRPr="00215F99" w:rsidRDefault="000E61A5" w:rsidP="000E61A5">
      <w:pPr>
        <w:pStyle w:val="BodyText"/>
        <w:spacing w:before="240"/>
      </w:pPr>
      <w:r w:rsidRPr="00215F99">
        <w:t>Table 2 provides and overview of the six dimensions in focus of Torino Process monitoring in 2025.</w:t>
      </w:r>
    </w:p>
    <w:p w14:paraId="575F9285" w14:textId="77777777" w:rsidR="000E61A5" w:rsidRPr="00215F99" w:rsidRDefault="000E61A5" w:rsidP="000E61A5">
      <w:pPr>
        <w:pStyle w:val="TableTitle"/>
      </w:pPr>
      <w:r w:rsidRPr="00215F99">
        <w:t>Table 2. Dimensions of Torino Process system performance monitoring (2025)</w:t>
      </w:r>
    </w:p>
    <w:tbl>
      <w:tblPr>
        <w:tblStyle w:val="ETF2021"/>
        <w:tblW w:w="9370" w:type="dxa"/>
        <w:tblLook w:val="04A0" w:firstRow="1" w:lastRow="0" w:firstColumn="1" w:lastColumn="0" w:noHBand="0" w:noVBand="1"/>
      </w:tblPr>
      <w:tblGrid>
        <w:gridCol w:w="2250"/>
        <w:gridCol w:w="2700"/>
        <w:gridCol w:w="4420"/>
      </w:tblGrid>
      <w:tr w:rsidR="000E61A5" w:rsidRPr="00215F99" w14:paraId="73A2FFC8" w14:textId="77777777" w:rsidTr="00717966">
        <w:trPr>
          <w:cnfStyle w:val="100000000000" w:firstRow="1" w:lastRow="0" w:firstColumn="0" w:lastColumn="0" w:oddVBand="0" w:evenVBand="0" w:oddHBand="0" w:evenHBand="0" w:firstRowFirstColumn="0" w:firstRowLastColumn="0" w:lastRowFirstColumn="0" w:lastRowLastColumn="0"/>
          <w:trHeight w:val="290"/>
        </w:trPr>
        <w:tc>
          <w:tcPr>
            <w:tcW w:w="2250" w:type="dxa"/>
            <w:hideMark/>
          </w:tcPr>
          <w:p w14:paraId="0884D59B" w14:textId="77777777" w:rsidR="000E61A5" w:rsidRPr="00215F99" w:rsidRDefault="000E61A5" w:rsidP="00717966">
            <w:pPr>
              <w:pStyle w:val="TableHeading"/>
            </w:pPr>
            <w:r w:rsidRPr="00215F99">
              <w:t>Area</w:t>
            </w:r>
          </w:p>
        </w:tc>
        <w:tc>
          <w:tcPr>
            <w:tcW w:w="2700" w:type="dxa"/>
            <w:hideMark/>
          </w:tcPr>
          <w:p w14:paraId="6B035440" w14:textId="77777777" w:rsidR="000E61A5" w:rsidRPr="00215F99" w:rsidRDefault="000E61A5" w:rsidP="00717966">
            <w:pPr>
              <w:pStyle w:val="TableHeading"/>
            </w:pPr>
            <w:r w:rsidRPr="00215F99">
              <w:t>Monitoring dimension</w:t>
            </w:r>
          </w:p>
        </w:tc>
        <w:tc>
          <w:tcPr>
            <w:tcW w:w="4420" w:type="dxa"/>
          </w:tcPr>
          <w:p w14:paraId="79C41D3F" w14:textId="77777777" w:rsidR="000E61A5" w:rsidRPr="00215F99" w:rsidRDefault="000E61A5" w:rsidP="00717966">
            <w:pPr>
              <w:pStyle w:val="TableHeading"/>
            </w:pPr>
            <w:r w:rsidRPr="00215F99">
              <w:t>Description of the dimension</w:t>
            </w:r>
          </w:p>
        </w:tc>
      </w:tr>
      <w:tr w:rsidR="000E61A5" w:rsidRPr="00215F99" w14:paraId="7AB4669C" w14:textId="77777777" w:rsidTr="00717966">
        <w:trPr>
          <w:trHeight w:val="447"/>
        </w:trPr>
        <w:tc>
          <w:tcPr>
            <w:tcW w:w="2250" w:type="dxa"/>
            <w:vMerge w:val="restart"/>
            <w:hideMark/>
          </w:tcPr>
          <w:p w14:paraId="4F3B8C46" w14:textId="77777777" w:rsidR="000E61A5" w:rsidRPr="00215F99" w:rsidRDefault="000E61A5" w:rsidP="00717966">
            <w:pPr>
              <w:pStyle w:val="TableText"/>
            </w:pPr>
            <w:r w:rsidRPr="00215F99">
              <w:rPr>
                <w:b/>
                <w:bCs/>
              </w:rPr>
              <w:t xml:space="preserve">A. </w:t>
            </w:r>
            <w:r w:rsidRPr="00215F99">
              <w:t>Access</w:t>
            </w:r>
          </w:p>
        </w:tc>
        <w:tc>
          <w:tcPr>
            <w:tcW w:w="2700" w:type="dxa"/>
            <w:noWrap/>
            <w:hideMark/>
          </w:tcPr>
          <w:p w14:paraId="3A813392" w14:textId="77777777" w:rsidR="000E61A5" w:rsidRPr="00215F99" w:rsidRDefault="000E61A5" w:rsidP="00717966">
            <w:pPr>
              <w:pStyle w:val="TableText"/>
            </w:pPr>
            <w:r w:rsidRPr="00215F99">
              <w:rPr>
                <w:b/>
                <w:bCs/>
              </w:rPr>
              <w:t>A.1.</w:t>
            </w:r>
            <w:r w:rsidRPr="00215F99">
              <w:t xml:space="preserve"> Access</w:t>
            </w:r>
          </w:p>
        </w:tc>
        <w:tc>
          <w:tcPr>
            <w:tcW w:w="4420" w:type="dxa"/>
          </w:tcPr>
          <w:p w14:paraId="09A42F39" w14:textId="77777777" w:rsidR="000E61A5" w:rsidRPr="00215F99" w:rsidRDefault="000E61A5" w:rsidP="00717966">
            <w:pPr>
              <w:pStyle w:val="TableText"/>
            </w:pPr>
            <w:r w:rsidRPr="00215F99">
              <w:t>Measures the extent to which VET and adult learning opportunities are accessible and attractive to learners.</w:t>
            </w:r>
          </w:p>
        </w:tc>
      </w:tr>
      <w:tr w:rsidR="000E61A5" w:rsidRPr="00215F99" w14:paraId="6747FA8C" w14:textId="77777777" w:rsidTr="00717966">
        <w:trPr>
          <w:trHeight w:val="290"/>
        </w:trPr>
        <w:tc>
          <w:tcPr>
            <w:tcW w:w="2250" w:type="dxa"/>
            <w:vMerge/>
            <w:hideMark/>
          </w:tcPr>
          <w:p w14:paraId="75D164C2" w14:textId="77777777" w:rsidR="000E61A5" w:rsidRPr="00215F99" w:rsidRDefault="000E61A5" w:rsidP="00717966">
            <w:pPr>
              <w:pStyle w:val="TableText"/>
            </w:pPr>
          </w:p>
        </w:tc>
        <w:tc>
          <w:tcPr>
            <w:tcW w:w="2700" w:type="dxa"/>
            <w:noWrap/>
            <w:hideMark/>
          </w:tcPr>
          <w:p w14:paraId="7D134A81" w14:textId="77777777" w:rsidR="000E61A5" w:rsidRPr="00215F99" w:rsidRDefault="000E61A5" w:rsidP="00717966">
            <w:pPr>
              <w:pStyle w:val="TableText"/>
            </w:pPr>
            <w:r w:rsidRPr="00215F99">
              <w:rPr>
                <w:b/>
                <w:bCs/>
              </w:rPr>
              <w:t>A.2</w:t>
            </w:r>
            <w:r w:rsidRPr="00215F99">
              <w:t xml:space="preserve"> Completion</w:t>
            </w:r>
          </w:p>
        </w:tc>
        <w:tc>
          <w:tcPr>
            <w:tcW w:w="4420" w:type="dxa"/>
          </w:tcPr>
          <w:p w14:paraId="681E2395" w14:textId="77777777" w:rsidR="000E61A5" w:rsidRPr="00215F99" w:rsidRDefault="000E61A5" w:rsidP="00717966">
            <w:pPr>
              <w:pStyle w:val="TableText"/>
            </w:pPr>
            <w:r w:rsidRPr="00215F99">
              <w:t>Captures the extent to which learners in initial VET are supported in progressing through their programmes and successfully completing them or graduating.</w:t>
            </w:r>
          </w:p>
        </w:tc>
      </w:tr>
      <w:tr w:rsidR="000E61A5" w:rsidRPr="00215F99" w14:paraId="2F184F70" w14:textId="77777777" w:rsidTr="00717966">
        <w:trPr>
          <w:trHeight w:val="290"/>
        </w:trPr>
        <w:tc>
          <w:tcPr>
            <w:tcW w:w="2250" w:type="dxa"/>
            <w:vMerge w:val="restart"/>
            <w:hideMark/>
          </w:tcPr>
          <w:p w14:paraId="4F63AA85" w14:textId="77777777" w:rsidR="000E61A5" w:rsidRPr="00215F99" w:rsidRDefault="000E61A5" w:rsidP="00717966">
            <w:pPr>
              <w:pStyle w:val="TableText"/>
            </w:pPr>
            <w:r w:rsidRPr="00215F99">
              <w:rPr>
                <w:b/>
                <w:bCs/>
              </w:rPr>
              <w:t xml:space="preserve">B. </w:t>
            </w:r>
            <w:r w:rsidRPr="00215F99">
              <w:t>Quality</w:t>
            </w:r>
          </w:p>
        </w:tc>
        <w:tc>
          <w:tcPr>
            <w:tcW w:w="2700" w:type="dxa"/>
            <w:noWrap/>
            <w:hideMark/>
          </w:tcPr>
          <w:p w14:paraId="3D918C1B" w14:textId="77777777" w:rsidR="000E61A5" w:rsidRPr="00215F99" w:rsidRDefault="000E61A5" w:rsidP="00717966">
            <w:pPr>
              <w:pStyle w:val="TableText"/>
            </w:pPr>
            <w:r w:rsidRPr="00215F99">
              <w:rPr>
                <w:b/>
                <w:bCs/>
              </w:rPr>
              <w:t>B.1</w:t>
            </w:r>
            <w:r w:rsidRPr="00215F99">
              <w:t xml:space="preserve"> Quality and relevance</w:t>
            </w:r>
          </w:p>
        </w:tc>
        <w:tc>
          <w:tcPr>
            <w:tcW w:w="4420" w:type="dxa"/>
          </w:tcPr>
          <w:p w14:paraId="13B8AED8" w14:textId="77777777" w:rsidR="000E61A5" w:rsidRPr="00215F99" w:rsidRDefault="000E61A5" w:rsidP="00717966">
            <w:pPr>
              <w:pStyle w:val="TableText"/>
            </w:pPr>
            <w:r w:rsidRPr="00215F99">
              <w:t>Tracks how effectively learners in VET and adult education are equipped with basic skills and key competences, the relevance of their learning for employment, and whether they receive adequate career guidance.</w:t>
            </w:r>
          </w:p>
        </w:tc>
      </w:tr>
      <w:tr w:rsidR="000E61A5" w:rsidRPr="00215F99" w14:paraId="162D8A2C" w14:textId="77777777" w:rsidTr="00717966">
        <w:trPr>
          <w:trHeight w:val="290"/>
        </w:trPr>
        <w:tc>
          <w:tcPr>
            <w:tcW w:w="2250" w:type="dxa"/>
            <w:vMerge/>
            <w:hideMark/>
          </w:tcPr>
          <w:p w14:paraId="52AC53A7" w14:textId="77777777" w:rsidR="000E61A5" w:rsidRPr="00215F99" w:rsidRDefault="000E61A5" w:rsidP="00717966">
            <w:pPr>
              <w:pStyle w:val="TableText"/>
            </w:pPr>
          </w:p>
        </w:tc>
        <w:tc>
          <w:tcPr>
            <w:tcW w:w="2700" w:type="dxa"/>
            <w:noWrap/>
            <w:hideMark/>
          </w:tcPr>
          <w:p w14:paraId="381210F3" w14:textId="77777777" w:rsidR="000E61A5" w:rsidRPr="00215F99" w:rsidRDefault="000E61A5" w:rsidP="00717966">
            <w:pPr>
              <w:pStyle w:val="TableText"/>
            </w:pPr>
            <w:r w:rsidRPr="00215F99">
              <w:rPr>
                <w:b/>
                <w:bCs/>
              </w:rPr>
              <w:t>B.4</w:t>
            </w:r>
            <w:r w:rsidRPr="00215F99">
              <w:t xml:space="preserve"> Responsiveness</w:t>
            </w:r>
          </w:p>
        </w:tc>
        <w:tc>
          <w:tcPr>
            <w:tcW w:w="4420" w:type="dxa"/>
          </w:tcPr>
          <w:p w14:paraId="2821079B" w14:textId="77777777" w:rsidR="000E61A5" w:rsidRPr="00215F99" w:rsidRDefault="000E61A5" w:rsidP="00717966">
            <w:pPr>
              <w:pStyle w:val="TableText"/>
            </w:pPr>
            <w:r w:rsidRPr="00215F99">
              <w:t>Measures how effectively the VET system incorporates strategic priorities – such as the green transition and digitalisation – in curricula, and how responsive it is to immediate socio-economic developments and changes in labour market demand.</w:t>
            </w:r>
          </w:p>
        </w:tc>
      </w:tr>
      <w:tr w:rsidR="000E61A5" w:rsidRPr="00215F99" w14:paraId="5E72D746" w14:textId="77777777" w:rsidTr="00717966">
        <w:trPr>
          <w:trHeight w:val="290"/>
        </w:trPr>
        <w:tc>
          <w:tcPr>
            <w:tcW w:w="2250" w:type="dxa"/>
            <w:vMerge w:val="restart"/>
            <w:hideMark/>
          </w:tcPr>
          <w:p w14:paraId="6C1A6AAF" w14:textId="77777777" w:rsidR="000E61A5" w:rsidRPr="00215F99" w:rsidRDefault="000E61A5" w:rsidP="00717966">
            <w:pPr>
              <w:pStyle w:val="TableText"/>
            </w:pPr>
            <w:r w:rsidRPr="00215F99">
              <w:rPr>
                <w:b/>
                <w:bCs/>
              </w:rPr>
              <w:t xml:space="preserve">C. </w:t>
            </w:r>
            <w:r w:rsidRPr="00215F99">
              <w:t>System organisation</w:t>
            </w:r>
          </w:p>
        </w:tc>
        <w:tc>
          <w:tcPr>
            <w:tcW w:w="2700" w:type="dxa"/>
            <w:noWrap/>
            <w:hideMark/>
          </w:tcPr>
          <w:p w14:paraId="4C7BBE53" w14:textId="77777777" w:rsidR="000E61A5" w:rsidRPr="00215F99" w:rsidRDefault="000E61A5" w:rsidP="00717966">
            <w:pPr>
              <w:pStyle w:val="TableText"/>
            </w:pPr>
            <w:r w:rsidRPr="00215F99">
              <w:rPr>
                <w:b/>
                <w:bCs/>
              </w:rPr>
              <w:t>C.1</w:t>
            </w:r>
            <w:r w:rsidRPr="00215F99">
              <w:t xml:space="preserve"> Steering and management</w:t>
            </w:r>
          </w:p>
        </w:tc>
        <w:tc>
          <w:tcPr>
            <w:tcW w:w="4420" w:type="dxa"/>
          </w:tcPr>
          <w:p w14:paraId="42414EA5" w14:textId="77777777" w:rsidR="000E61A5" w:rsidRPr="00215F99" w:rsidRDefault="000E61A5" w:rsidP="00717966">
            <w:pPr>
              <w:pStyle w:val="TableText"/>
            </w:pPr>
            <w:r w:rsidRPr="00215F99">
              <w:t>Captures VET system performance in ensuring the availability of data for informed decision-making, maintaining transparent quality assurance processes, securing competent leadership, and facilitating international cooperation.</w:t>
            </w:r>
          </w:p>
        </w:tc>
      </w:tr>
      <w:tr w:rsidR="000E61A5" w:rsidRPr="00215F99" w14:paraId="700A9693" w14:textId="77777777" w:rsidTr="00717966">
        <w:trPr>
          <w:trHeight w:val="955"/>
        </w:trPr>
        <w:tc>
          <w:tcPr>
            <w:tcW w:w="2250" w:type="dxa"/>
            <w:vMerge/>
            <w:hideMark/>
          </w:tcPr>
          <w:p w14:paraId="76B96F45" w14:textId="77777777" w:rsidR="000E61A5" w:rsidRPr="00215F99" w:rsidRDefault="000E61A5" w:rsidP="00717966">
            <w:pPr>
              <w:pStyle w:val="TableText"/>
            </w:pPr>
          </w:p>
        </w:tc>
        <w:tc>
          <w:tcPr>
            <w:tcW w:w="2700" w:type="dxa"/>
            <w:noWrap/>
            <w:hideMark/>
          </w:tcPr>
          <w:p w14:paraId="42EE97E9" w14:textId="77777777" w:rsidR="000E61A5" w:rsidRPr="00215F99" w:rsidRDefault="000E61A5" w:rsidP="00717966">
            <w:pPr>
              <w:pStyle w:val="TableText"/>
            </w:pPr>
            <w:r w:rsidRPr="00215F99">
              <w:rPr>
                <w:b/>
                <w:bCs/>
              </w:rPr>
              <w:t>C.2</w:t>
            </w:r>
            <w:r w:rsidRPr="00215F99">
              <w:t xml:space="preserve"> Resourcing</w:t>
            </w:r>
          </w:p>
        </w:tc>
        <w:tc>
          <w:tcPr>
            <w:tcW w:w="4420" w:type="dxa"/>
          </w:tcPr>
          <w:p w14:paraId="5646AA92" w14:textId="77777777" w:rsidR="000E61A5" w:rsidRPr="00215F99" w:rsidRDefault="000E61A5" w:rsidP="00717966">
            <w:pPr>
              <w:pStyle w:val="TableText"/>
            </w:pPr>
            <w:r w:rsidRPr="00215F99">
              <w:t>Monitors the sufficiency and efficiency of financial and human resources allocated to VET, as well as whether the physical infrastructure supports effective teaching, training, and learning.</w:t>
            </w:r>
          </w:p>
        </w:tc>
      </w:tr>
    </w:tbl>
    <w:p w14:paraId="613F890D" w14:textId="77777777" w:rsidR="000E61A5" w:rsidRPr="00215F99" w:rsidRDefault="000E61A5" w:rsidP="000E61A5">
      <w:pPr>
        <w:pStyle w:val="BodyText"/>
        <w:spacing w:before="240"/>
      </w:pPr>
      <w:bookmarkStart w:id="17" w:name="_Hlk198636274"/>
      <w:r w:rsidRPr="00215F99">
        <w:t>To align these dimensions closely with practical realities and policy specifics, in 2025 the framework was refined further into a total of 19 distinct policy and system outcomes. Each of these outcomes represents a specific commitment that VET systems are expected to fulfil</w:t>
      </w:r>
      <w:bookmarkEnd w:id="17"/>
      <w:r w:rsidRPr="00215F99">
        <w:t>.</w:t>
      </w:r>
    </w:p>
    <w:p w14:paraId="5D79971B" w14:textId="77777777" w:rsidR="000E61A5" w:rsidRPr="00215F99" w:rsidRDefault="000E61A5" w:rsidP="000E61A5">
      <w:pPr>
        <w:pStyle w:val="BodyText"/>
        <w:spacing w:after="240"/>
      </w:pPr>
      <w:r w:rsidRPr="00215F99">
        <w:t>For example, Dimension A.1 (Access) comprises:</w:t>
      </w:r>
    </w:p>
    <w:p w14:paraId="1CA6C96B" w14:textId="77777777" w:rsidR="000E61A5" w:rsidRPr="00215F99" w:rsidRDefault="000E61A5" w:rsidP="000E61A5">
      <w:pPr>
        <w:pStyle w:val="BodyText"/>
        <w:numPr>
          <w:ilvl w:val="0"/>
          <w:numId w:val="40"/>
        </w:numPr>
      </w:pPr>
      <w:r w:rsidRPr="00215F99">
        <w:t>Outcome A.1.1 – Access: initial VET</w:t>
      </w:r>
    </w:p>
    <w:p w14:paraId="4589C2D8" w14:textId="77777777" w:rsidR="000E61A5" w:rsidRPr="00215F99" w:rsidRDefault="000E61A5" w:rsidP="000E61A5">
      <w:pPr>
        <w:pStyle w:val="BodyText"/>
        <w:numPr>
          <w:ilvl w:val="0"/>
          <w:numId w:val="40"/>
        </w:numPr>
      </w:pPr>
      <w:r w:rsidRPr="00215F99">
        <w:t>Outcome A.1.2 – Access: continuing VET</w:t>
      </w:r>
    </w:p>
    <w:p w14:paraId="5104C26B" w14:textId="77777777" w:rsidR="000E61A5" w:rsidRPr="00215F99" w:rsidRDefault="000E61A5" w:rsidP="000E61A5">
      <w:pPr>
        <w:pStyle w:val="BodyText"/>
        <w:numPr>
          <w:ilvl w:val="0"/>
          <w:numId w:val="40"/>
        </w:numPr>
      </w:pPr>
      <w:r w:rsidRPr="00215F99">
        <w:t>Outcome A.1.3 – Access to other opportunities for adult learning</w:t>
      </w:r>
    </w:p>
    <w:p w14:paraId="3EA35691" w14:textId="77777777" w:rsidR="000E61A5" w:rsidRPr="00215F99" w:rsidRDefault="000E61A5" w:rsidP="000E61A5">
      <w:pPr>
        <w:pStyle w:val="BodyText"/>
        <w:spacing w:before="240"/>
      </w:pPr>
      <w:r w:rsidRPr="00215F99">
        <w:t>Table 3 provides an overview of the 19 outcomes in focus of monitoring and the dimensions they are associated with.</w:t>
      </w:r>
    </w:p>
    <w:p w14:paraId="1B3CCE65" w14:textId="77777777" w:rsidR="000E61A5" w:rsidRPr="00215F99" w:rsidRDefault="000E61A5" w:rsidP="000E61A5">
      <w:pPr>
        <w:pStyle w:val="TableTitle"/>
      </w:pPr>
      <w:r w:rsidRPr="00215F99">
        <w:t>Table 3. Disaggregation of monitoring dimensions into 19 policy outcomes</w:t>
      </w:r>
    </w:p>
    <w:p w14:paraId="06C6CABE" w14:textId="77777777" w:rsidR="000E61A5" w:rsidRPr="00215F99" w:rsidRDefault="000E61A5" w:rsidP="000E61A5">
      <w:pPr>
        <w:pStyle w:val="BodyText"/>
        <w:spacing w:line="240" w:lineRule="auto"/>
        <w:rPr>
          <w:b/>
          <w:bCs/>
          <w:color w:val="auto"/>
        </w:rPr>
      </w:pPr>
      <w:r w:rsidRPr="00215F99">
        <w:rPr>
          <w:b/>
          <w:bCs/>
          <w:color w:val="auto"/>
        </w:rPr>
        <w:t>Area A. ACCESS, PARTICIPATION, AND OPPORTUNITIES FOR LIFELONG LEARNING</w:t>
      </w:r>
    </w:p>
    <w:tbl>
      <w:tblPr>
        <w:tblStyle w:val="ETF2021"/>
        <w:tblW w:w="9070" w:type="dxa"/>
        <w:tblLook w:val="04A0" w:firstRow="1" w:lastRow="0" w:firstColumn="1" w:lastColumn="0" w:noHBand="0" w:noVBand="1"/>
      </w:tblPr>
      <w:tblGrid>
        <w:gridCol w:w="2070"/>
        <w:gridCol w:w="7000"/>
      </w:tblGrid>
      <w:tr w:rsidR="000E61A5" w:rsidRPr="00215F99" w14:paraId="5BA1032B" w14:textId="77777777" w:rsidTr="00717966">
        <w:trPr>
          <w:cnfStyle w:val="100000000000" w:firstRow="1" w:lastRow="0" w:firstColumn="0" w:lastColumn="0" w:oddVBand="0" w:evenVBand="0" w:oddHBand="0" w:evenHBand="0" w:firstRowFirstColumn="0" w:firstRowLastColumn="0" w:lastRowFirstColumn="0" w:lastRowLastColumn="0"/>
          <w:trHeight w:val="140"/>
        </w:trPr>
        <w:tc>
          <w:tcPr>
            <w:tcW w:w="2070" w:type="dxa"/>
            <w:noWrap/>
            <w:hideMark/>
          </w:tcPr>
          <w:p w14:paraId="135C8A88" w14:textId="77777777" w:rsidR="000E61A5" w:rsidRPr="00215F99" w:rsidRDefault="000E61A5" w:rsidP="00717966">
            <w:pPr>
              <w:pStyle w:val="TableHeading"/>
            </w:pPr>
            <w:r w:rsidRPr="00215F99">
              <w:t>Dimension A.1</w:t>
            </w:r>
          </w:p>
        </w:tc>
        <w:tc>
          <w:tcPr>
            <w:tcW w:w="7000" w:type="dxa"/>
            <w:hideMark/>
          </w:tcPr>
          <w:p w14:paraId="603B3D06" w14:textId="77777777" w:rsidR="000E61A5" w:rsidRPr="00215F99" w:rsidRDefault="000E61A5" w:rsidP="00717966">
            <w:pPr>
              <w:pStyle w:val="TableHeading"/>
            </w:pPr>
            <w:r w:rsidRPr="00215F99">
              <w:t>ACCESS</w:t>
            </w:r>
          </w:p>
        </w:tc>
      </w:tr>
      <w:tr w:rsidR="000E61A5" w:rsidRPr="00215F99" w14:paraId="20860777" w14:textId="77777777" w:rsidTr="00717966">
        <w:trPr>
          <w:trHeight w:val="109"/>
        </w:trPr>
        <w:tc>
          <w:tcPr>
            <w:tcW w:w="2070" w:type="dxa"/>
            <w:noWrap/>
            <w:hideMark/>
          </w:tcPr>
          <w:p w14:paraId="4B03695A" w14:textId="77777777" w:rsidR="000E61A5" w:rsidRPr="00215F99" w:rsidRDefault="000E61A5" w:rsidP="00717966">
            <w:pPr>
              <w:pStyle w:val="TableFirstColumn"/>
            </w:pPr>
            <w:r w:rsidRPr="00215F99">
              <w:t>Outcome A.1.1</w:t>
            </w:r>
          </w:p>
        </w:tc>
        <w:tc>
          <w:tcPr>
            <w:tcW w:w="7000" w:type="dxa"/>
            <w:hideMark/>
          </w:tcPr>
          <w:p w14:paraId="5CED8EA4" w14:textId="77777777" w:rsidR="000E61A5" w:rsidRPr="00215F99" w:rsidRDefault="000E61A5" w:rsidP="00717966">
            <w:pPr>
              <w:pStyle w:val="TableText"/>
            </w:pPr>
            <w:r w:rsidRPr="00215F99">
              <w:t>Access: initial VET</w:t>
            </w:r>
          </w:p>
        </w:tc>
      </w:tr>
      <w:tr w:rsidR="000E61A5" w:rsidRPr="00215F99" w14:paraId="32C0CFA4" w14:textId="77777777" w:rsidTr="00717966">
        <w:trPr>
          <w:trHeight w:val="35"/>
        </w:trPr>
        <w:tc>
          <w:tcPr>
            <w:tcW w:w="2070" w:type="dxa"/>
            <w:noWrap/>
            <w:hideMark/>
          </w:tcPr>
          <w:p w14:paraId="50D92A8F" w14:textId="77777777" w:rsidR="000E61A5" w:rsidRPr="00215F99" w:rsidRDefault="000E61A5" w:rsidP="00717966">
            <w:pPr>
              <w:pStyle w:val="TableFirstColumn"/>
            </w:pPr>
            <w:r w:rsidRPr="00215F99">
              <w:t>Outcome A.1.2</w:t>
            </w:r>
          </w:p>
        </w:tc>
        <w:tc>
          <w:tcPr>
            <w:tcW w:w="7000" w:type="dxa"/>
            <w:hideMark/>
          </w:tcPr>
          <w:p w14:paraId="364290FB" w14:textId="77777777" w:rsidR="000E61A5" w:rsidRPr="00215F99" w:rsidRDefault="000E61A5" w:rsidP="00717966">
            <w:pPr>
              <w:pStyle w:val="TableText"/>
            </w:pPr>
            <w:r w:rsidRPr="00215F99">
              <w:t>Access: continuing VET</w:t>
            </w:r>
          </w:p>
        </w:tc>
      </w:tr>
      <w:tr w:rsidR="000E61A5" w:rsidRPr="00215F99" w14:paraId="3CA7D609" w14:textId="77777777" w:rsidTr="00717966">
        <w:trPr>
          <w:trHeight w:val="123"/>
        </w:trPr>
        <w:tc>
          <w:tcPr>
            <w:tcW w:w="2070" w:type="dxa"/>
            <w:tcBorders>
              <w:bottom w:val="single" w:sz="12" w:space="0" w:color="0092BB"/>
            </w:tcBorders>
            <w:noWrap/>
            <w:hideMark/>
          </w:tcPr>
          <w:p w14:paraId="29EA93FB" w14:textId="77777777" w:rsidR="000E61A5" w:rsidRPr="00215F99" w:rsidRDefault="000E61A5" w:rsidP="00717966">
            <w:pPr>
              <w:pStyle w:val="TableFirstColumn"/>
            </w:pPr>
            <w:r w:rsidRPr="00215F99">
              <w:t xml:space="preserve">Outcome A.1.3 </w:t>
            </w:r>
          </w:p>
        </w:tc>
        <w:tc>
          <w:tcPr>
            <w:tcW w:w="7000" w:type="dxa"/>
            <w:tcBorders>
              <w:bottom w:val="single" w:sz="12" w:space="0" w:color="0092BB"/>
            </w:tcBorders>
            <w:hideMark/>
          </w:tcPr>
          <w:p w14:paraId="273BD003" w14:textId="77777777" w:rsidR="000E61A5" w:rsidRPr="00215F99" w:rsidRDefault="000E61A5" w:rsidP="00717966">
            <w:pPr>
              <w:pStyle w:val="TableText"/>
            </w:pPr>
            <w:r w:rsidRPr="00215F99">
              <w:t>Access to other opportunities for adult learning</w:t>
            </w:r>
          </w:p>
        </w:tc>
      </w:tr>
      <w:tr w:rsidR="000E61A5" w:rsidRPr="00215F99" w14:paraId="3ACBA998" w14:textId="77777777" w:rsidTr="00717966">
        <w:trPr>
          <w:trHeight w:val="25"/>
        </w:trPr>
        <w:tc>
          <w:tcPr>
            <w:tcW w:w="2070" w:type="dxa"/>
            <w:tcBorders>
              <w:top w:val="single" w:sz="12" w:space="0" w:color="0092BB"/>
              <w:bottom w:val="single" w:sz="12" w:space="0" w:color="0092BB"/>
            </w:tcBorders>
            <w:noWrap/>
            <w:hideMark/>
          </w:tcPr>
          <w:p w14:paraId="0DCAF409" w14:textId="77777777" w:rsidR="000E61A5" w:rsidRPr="00215F99" w:rsidRDefault="000E61A5" w:rsidP="00717966">
            <w:pPr>
              <w:pStyle w:val="TableHeading"/>
            </w:pPr>
            <w:r w:rsidRPr="00215F99">
              <w:t>Dimension A.2</w:t>
            </w:r>
          </w:p>
        </w:tc>
        <w:tc>
          <w:tcPr>
            <w:tcW w:w="7000" w:type="dxa"/>
            <w:tcBorders>
              <w:top w:val="single" w:sz="12" w:space="0" w:color="0092BB"/>
              <w:bottom w:val="single" w:sz="12" w:space="0" w:color="0092BB"/>
            </w:tcBorders>
            <w:hideMark/>
          </w:tcPr>
          <w:p w14:paraId="3E00ABCD" w14:textId="77777777" w:rsidR="000E61A5" w:rsidRPr="00215F99" w:rsidRDefault="000E61A5" w:rsidP="00717966">
            <w:pPr>
              <w:pStyle w:val="TableHeading"/>
            </w:pPr>
            <w:r w:rsidRPr="00215F99">
              <w:t xml:space="preserve">PARTICIPATION </w:t>
            </w:r>
          </w:p>
        </w:tc>
      </w:tr>
      <w:tr w:rsidR="000E61A5" w:rsidRPr="00215F99" w14:paraId="2FE9ED47" w14:textId="77777777" w:rsidTr="00717966">
        <w:trPr>
          <w:trHeight w:val="21"/>
        </w:trPr>
        <w:tc>
          <w:tcPr>
            <w:tcW w:w="2070" w:type="dxa"/>
            <w:noWrap/>
            <w:hideMark/>
          </w:tcPr>
          <w:p w14:paraId="3236090E" w14:textId="77777777" w:rsidR="000E61A5" w:rsidRPr="00215F99" w:rsidRDefault="000E61A5" w:rsidP="00717966">
            <w:pPr>
              <w:pStyle w:val="TableFirstColumn"/>
            </w:pPr>
            <w:r w:rsidRPr="00215F99">
              <w:t xml:space="preserve">Outcome A.2.3 </w:t>
            </w:r>
          </w:p>
        </w:tc>
        <w:tc>
          <w:tcPr>
            <w:tcW w:w="7000" w:type="dxa"/>
            <w:hideMark/>
          </w:tcPr>
          <w:p w14:paraId="5E0639F2" w14:textId="77777777" w:rsidR="000E61A5" w:rsidRPr="00215F99" w:rsidRDefault="000E61A5" w:rsidP="00717966">
            <w:pPr>
              <w:pStyle w:val="TableText"/>
            </w:pPr>
            <w:r w:rsidRPr="00215F99">
              <w:t>Completion and graduation in initial VET</w:t>
            </w:r>
          </w:p>
        </w:tc>
      </w:tr>
      <w:tr w:rsidR="000E61A5" w:rsidRPr="00215F99" w14:paraId="42FF0926" w14:textId="77777777" w:rsidTr="00717966">
        <w:trPr>
          <w:trHeight w:val="21"/>
        </w:trPr>
        <w:tc>
          <w:tcPr>
            <w:tcW w:w="2070" w:type="dxa"/>
            <w:noWrap/>
          </w:tcPr>
          <w:p w14:paraId="3C409A01" w14:textId="77777777" w:rsidR="000E61A5" w:rsidRPr="00215F99" w:rsidRDefault="000E61A5" w:rsidP="00717966">
            <w:pPr>
              <w:pStyle w:val="TableFirstColumn"/>
            </w:pPr>
          </w:p>
        </w:tc>
        <w:tc>
          <w:tcPr>
            <w:tcW w:w="7000" w:type="dxa"/>
          </w:tcPr>
          <w:p w14:paraId="1560F0B5" w14:textId="77777777" w:rsidR="000E61A5" w:rsidRPr="00215F99" w:rsidRDefault="000E61A5" w:rsidP="00717966">
            <w:pPr>
              <w:pStyle w:val="TableText"/>
            </w:pPr>
          </w:p>
        </w:tc>
      </w:tr>
    </w:tbl>
    <w:p w14:paraId="4D0ED5E3" w14:textId="77777777" w:rsidR="000E61A5" w:rsidRPr="00215F99" w:rsidRDefault="000E61A5" w:rsidP="000E61A5">
      <w:pPr>
        <w:pStyle w:val="BodyText"/>
        <w:spacing w:before="240"/>
        <w:rPr>
          <w:b/>
          <w:bCs/>
          <w:color w:val="auto"/>
        </w:rPr>
      </w:pPr>
      <w:r w:rsidRPr="00215F99">
        <w:rPr>
          <w:b/>
          <w:bCs/>
          <w:color w:val="auto"/>
        </w:rPr>
        <w:lastRenderedPageBreak/>
        <w:t>Area B. QUALITY OF LIFELONG LEARNING OUTCOMES</w:t>
      </w:r>
    </w:p>
    <w:tbl>
      <w:tblPr>
        <w:tblStyle w:val="ETF2021"/>
        <w:tblW w:w="0" w:type="auto"/>
        <w:tblLook w:val="04A0" w:firstRow="1" w:lastRow="0" w:firstColumn="1" w:lastColumn="0" w:noHBand="0" w:noVBand="1"/>
      </w:tblPr>
      <w:tblGrid>
        <w:gridCol w:w="2063"/>
        <w:gridCol w:w="7007"/>
      </w:tblGrid>
      <w:tr w:rsidR="000E61A5" w:rsidRPr="00215F99" w14:paraId="05552505" w14:textId="77777777" w:rsidTr="00717966">
        <w:trPr>
          <w:cnfStyle w:val="100000000000" w:firstRow="1" w:lastRow="0" w:firstColumn="0" w:lastColumn="0" w:oddVBand="0" w:evenVBand="0" w:oddHBand="0" w:evenHBand="0" w:firstRowFirstColumn="0" w:firstRowLastColumn="0" w:lastRowFirstColumn="0" w:lastRowLastColumn="0"/>
          <w:trHeight w:val="25"/>
        </w:trPr>
        <w:tc>
          <w:tcPr>
            <w:tcW w:w="2063" w:type="dxa"/>
            <w:noWrap/>
            <w:hideMark/>
          </w:tcPr>
          <w:p w14:paraId="4D30528F" w14:textId="77777777" w:rsidR="000E61A5" w:rsidRPr="00215F99" w:rsidRDefault="000E61A5" w:rsidP="00717966">
            <w:pPr>
              <w:pStyle w:val="TableHeading"/>
            </w:pPr>
            <w:r w:rsidRPr="00215F99">
              <w:t>Dimension B.1</w:t>
            </w:r>
          </w:p>
        </w:tc>
        <w:tc>
          <w:tcPr>
            <w:tcW w:w="7007" w:type="dxa"/>
            <w:hideMark/>
          </w:tcPr>
          <w:p w14:paraId="51DC23C5" w14:textId="77777777" w:rsidR="000E61A5" w:rsidRPr="00215F99" w:rsidRDefault="000E61A5" w:rsidP="00717966">
            <w:pPr>
              <w:pStyle w:val="TableHeading"/>
            </w:pPr>
            <w:r w:rsidRPr="00215F99">
              <w:t>QUALITY AND RELEVANCE</w:t>
            </w:r>
          </w:p>
        </w:tc>
      </w:tr>
      <w:tr w:rsidR="000E61A5" w:rsidRPr="00215F99" w14:paraId="4531032C" w14:textId="77777777" w:rsidTr="00717966">
        <w:trPr>
          <w:trHeight w:val="21"/>
        </w:trPr>
        <w:tc>
          <w:tcPr>
            <w:tcW w:w="2063" w:type="dxa"/>
            <w:noWrap/>
            <w:hideMark/>
          </w:tcPr>
          <w:p w14:paraId="2E79EC3C" w14:textId="77777777" w:rsidR="000E61A5" w:rsidRPr="00215F99" w:rsidRDefault="000E61A5" w:rsidP="00717966">
            <w:pPr>
              <w:pStyle w:val="TableFirstColumn"/>
            </w:pPr>
            <w:r w:rsidRPr="00215F99">
              <w:t>Outcome B.1.1</w:t>
            </w:r>
          </w:p>
        </w:tc>
        <w:tc>
          <w:tcPr>
            <w:tcW w:w="7007" w:type="dxa"/>
            <w:hideMark/>
          </w:tcPr>
          <w:p w14:paraId="16689536" w14:textId="77777777" w:rsidR="000E61A5" w:rsidRPr="00215F99" w:rsidRDefault="000E61A5" w:rsidP="00717966">
            <w:pPr>
              <w:pStyle w:val="TableText"/>
            </w:pPr>
            <w:r w:rsidRPr="00215F99">
              <w:t>Quality of learning outcomes: youth</w:t>
            </w:r>
          </w:p>
        </w:tc>
      </w:tr>
      <w:tr w:rsidR="000E61A5" w:rsidRPr="00215F99" w14:paraId="182D1686" w14:textId="77777777" w:rsidTr="00717966">
        <w:trPr>
          <w:trHeight w:val="20"/>
        </w:trPr>
        <w:tc>
          <w:tcPr>
            <w:tcW w:w="2063" w:type="dxa"/>
            <w:noWrap/>
            <w:hideMark/>
          </w:tcPr>
          <w:p w14:paraId="04537E90" w14:textId="77777777" w:rsidR="000E61A5" w:rsidRPr="00215F99" w:rsidRDefault="000E61A5" w:rsidP="00717966">
            <w:pPr>
              <w:pStyle w:val="TableFirstColumn"/>
            </w:pPr>
            <w:r w:rsidRPr="00215F99">
              <w:t>Outcome B.1.2</w:t>
            </w:r>
          </w:p>
        </w:tc>
        <w:tc>
          <w:tcPr>
            <w:tcW w:w="7007" w:type="dxa"/>
            <w:hideMark/>
          </w:tcPr>
          <w:p w14:paraId="122B0A0C" w14:textId="77777777" w:rsidR="000E61A5" w:rsidRPr="00215F99" w:rsidRDefault="000E61A5" w:rsidP="00717966">
            <w:pPr>
              <w:pStyle w:val="TableText"/>
            </w:pPr>
            <w:r w:rsidRPr="00215F99">
              <w:t>Adult skills and competences</w:t>
            </w:r>
          </w:p>
        </w:tc>
      </w:tr>
      <w:tr w:rsidR="000E61A5" w:rsidRPr="00215F99" w14:paraId="0ADCC62A" w14:textId="77777777" w:rsidTr="00717966">
        <w:trPr>
          <w:trHeight w:val="20"/>
        </w:trPr>
        <w:tc>
          <w:tcPr>
            <w:tcW w:w="2063" w:type="dxa"/>
            <w:noWrap/>
            <w:hideMark/>
          </w:tcPr>
          <w:p w14:paraId="14C5D3F2" w14:textId="77777777" w:rsidR="000E61A5" w:rsidRPr="00215F99" w:rsidRDefault="000E61A5" w:rsidP="00717966">
            <w:pPr>
              <w:pStyle w:val="TableFirstColumn"/>
            </w:pPr>
            <w:r w:rsidRPr="00215F99">
              <w:t>Outcome B.1.3</w:t>
            </w:r>
          </w:p>
        </w:tc>
        <w:tc>
          <w:tcPr>
            <w:tcW w:w="7007" w:type="dxa"/>
            <w:hideMark/>
          </w:tcPr>
          <w:p w14:paraId="0460A669" w14:textId="77777777" w:rsidR="000E61A5" w:rsidRPr="00215F99" w:rsidRDefault="000E61A5" w:rsidP="00717966">
            <w:pPr>
              <w:pStyle w:val="TableText"/>
            </w:pPr>
            <w:r w:rsidRPr="00215F99">
              <w:t>Links between learning and the world of work</w:t>
            </w:r>
          </w:p>
        </w:tc>
      </w:tr>
      <w:tr w:rsidR="000E61A5" w:rsidRPr="00215F99" w14:paraId="36A9DED2" w14:textId="77777777" w:rsidTr="00717966">
        <w:trPr>
          <w:trHeight w:val="20"/>
        </w:trPr>
        <w:tc>
          <w:tcPr>
            <w:tcW w:w="2063" w:type="dxa"/>
            <w:noWrap/>
            <w:hideMark/>
          </w:tcPr>
          <w:p w14:paraId="52AAFFB1" w14:textId="77777777" w:rsidR="000E61A5" w:rsidRPr="00215F99" w:rsidRDefault="000E61A5" w:rsidP="00717966">
            <w:pPr>
              <w:pStyle w:val="TableFirstColumn"/>
            </w:pPr>
            <w:r w:rsidRPr="00215F99">
              <w:t>Outcome B.1.4</w:t>
            </w:r>
          </w:p>
        </w:tc>
        <w:tc>
          <w:tcPr>
            <w:tcW w:w="7007" w:type="dxa"/>
            <w:hideMark/>
          </w:tcPr>
          <w:p w14:paraId="051FF941" w14:textId="77777777" w:rsidR="000E61A5" w:rsidRPr="00215F99" w:rsidRDefault="000E61A5" w:rsidP="00717966">
            <w:pPr>
              <w:pStyle w:val="TableText"/>
            </w:pPr>
            <w:r w:rsidRPr="00215F99">
              <w:t>Employability of learners</w:t>
            </w:r>
          </w:p>
        </w:tc>
      </w:tr>
      <w:tr w:rsidR="000E61A5" w:rsidRPr="00215F99" w14:paraId="1C4B4E62" w14:textId="77777777" w:rsidTr="00717966">
        <w:trPr>
          <w:trHeight w:val="20"/>
        </w:trPr>
        <w:tc>
          <w:tcPr>
            <w:tcW w:w="2063" w:type="dxa"/>
            <w:tcBorders>
              <w:bottom w:val="single" w:sz="12" w:space="0" w:color="0092BB"/>
            </w:tcBorders>
            <w:noWrap/>
            <w:hideMark/>
          </w:tcPr>
          <w:p w14:paraId="2DD5FE93" w14:textId="77777777" w:rsidR="000E61A5" w:rsidRPr="00215F99" w:rsidRDefault="000E61A5" w:rsidP="00717966">
            <w:pPr>
              <w:pStyle w:val="TableFirstColumn"/>
            </w:pPr>
            <w:r w:rsidRPr="00215F99">
              <w:t>Outcome B.1.5</w:t>
            </w:r>
          </w:p>
        </w:tc>
        <w:tc>
          <w:tcPr>
            <w:tcW w:w="7007" w:type="dxa"/>
            <w:tcBorders>
              <w:bottom w:val="single" w:sz="12" w:space="0" w:color="0092BB"/>
            </w:tcBorders>
            <w:hideMark/>
          </w:tcPr>
          <w:p w14:paraId="0594108B" w14:textId="77777777" w:rsidR="000E61A5" w:rsidRPr="00215F99" w:rsidRDefault="000E61A5" w:rsidP="00717966">
            <w:pPr>
              <w:pStyle w:val="TableText"/>
            </w:pPr>
            <w:r w:rsidRPr="00215F99">
              <w:t>Opportunities for career guidance</w:t>
            </w:r>
          </w:p>
        </w:tc>
      </w:tr>
      <w:tr w:rsidR="000E61A5" w:rsidRPr="00215F99" w14:paraId="48736182" w14:textId="77777777" w:rsidTr="00717966">
        <w:trPr>
          <w:trHeight w:val="25"/>
        </w:trPr>
        <w:tc>
          <w:tcPr>
            <w:tcW w:w="2063" w:type="dxa"/>
            <w:tcBorders>
              <w:top w:val="single" w:sz="12" w:space="0" w:color="0092BB"/>
              <w:bottom w:val="single" w:sz="12" w:space="0" w:color="0092BB"/>
            </w:tcBorders>
            <w:noWrap/>
            <w:hideMark/>
          </w:tcPr>
          <w:p w14:paraId="100ACDB0" w14:textId="77777777" w:rsidR="000E61A5" w:rsidRPr="00215F99" w:rsidRDefault="000E61A5" w:rsidP="00717966">
            <w:pPr>
              <w:pStyle w:val="TableHeading"/>
            </w:pPr>
            <w:r w:rsidRPr="00215F99">
              <w:t>Dimension B.4</w:t>
            </w:r>
          </w:p>
        </w:tc>
        <w:tc>
          <w:tcPr>
            <w:tcW w:w="7007" w:type="dxa"/>
            <w:tcBorders>
              <w:top w:val="single" w:sz="12" w:space="0" w:color="0092BB"/>
              <w:bottom w:val="single" w:sz="12" w:space="0" w:color="0092BB"/>
            </w:tcBorders>
            <w:hideMark/>
          </w:tcPr>
          <w:p w14:paraId="09818260" w14:textId="77777777" w:rsidR="000E61A5" w:rsidRPr="00215F99" w:rsidRDefault="000E61A5" w:rsidP="00717966">
            <w:pPr>
              <w:pStyle w:val="TableHeading"/>
            </w:pPr>
            <w:r w:rsidRPr="00215F99">
              <w:t>RESPONSIVENESS</w:t>
            </w:r>
          </w:p>
        </w:tc>
      </w:tr>
      <w:tr w:rsidR="000E61A5" w:rsidRPr="00215F99" w14:paraId="3CA5DBCB" w14:textId="77777777" w:rsidTr="00717966">
        <w:trPr>
          <w:trHeight w:val="20"/>
        </w:trPr>
        <w:tc>
          <w:tcPr>
            <w:tcW w:w="2063" w:type="dxa"/>
            <w:tcBorders>
              <w:top w:val="single" w:sz="12" w:space="0" w:color="0092BB"/>
            </w:tcBorders>
            <w:noWrap/>
            <w:hideMark/>
          </w:tcPr>
          <w:p w14:paraId="0D70A0C1" w14:textId="77777777" w:rsidR="000E61A5" w:rsidRPr="00215F99" w:rsidRDefault="000E61A5" w:rsidP="00717966">
            <w:pPr>
              <w:pStyle w:val="TableFirstColumn"/>
            </w:pPr>
            <w:r w:rsidRPr="00215F99">
              <w:t>Outcome B.4.1</w:t>
            </w:r>
          </w:p>
        </w:tc>
        <w:tc>
          <w:tcPr>
            <w:tcW w:w="7007" w:type="dxa"/>
            <w:tcBorders>
              <w:top w:val="single" w:sz="12" w:space="0" w:color="0092BB"/>
            </w:tcBorders>
            <w:hideMark/>
          </w:tcPr>
          <w:p w14:paraId="34D3CE80" w14:textId="77777777" w:rsidR="000E61A5" w:rsidRPr="00215F99" w:rsidRDefault="000E61A5" w:rsidP="00717966">
            <w:pPr>
              <w:pStyle w:val="TableText"/>
            </w:pPr>
            <w:r w:rsidRPr="00215F99">
              <w:t>Responsiveness: green transition</w:t>
            </w:r>
          </w:p>
        </w:tc>
      </w:tr>
      <w:tr w:rsidR="000E61A5" w:rsidRPr="00215F99" w14:paraId="00B0E469" w14:textId="77777777" w:rsidTr="00717966">
        <w:trPr>
          <w:trHeight w:val="20"/>
        </w:trPr>
        <w:tc>
          <w:tcPr>
            <w:tcW w:w="2063" w:type="dxa"/>
            <w:noWrap/>
            <w:hideMark/>
          </w:tcPr>
          <w:p w14:paraId="41EDC5AD" w14:textId="77777777" w:rsidR="000E61A5" w:rsidRPr="00215F99" w:rsidRDefault="000E61A5" w:rsidP="00717966">
            <w:pPr>
              <w:pStyle w:val="TableFirstColumn"/>
            </w:pPr>
            <w:r w:rsidRPr="00215F99">
              <w:t>Outcome B.4.2</w:t>
            </w:r>
          </w:p>
        </w:tc>
        <w:tc>
          <w:tcPr>
            <w:tcW w:w="7007" w:type="dxa"/>
            <w:hideMark/>
          </w:tcPr>
          <w:p w14:paraId="59C549E6" w14:textId="77777777" w:rsidR="000E61A5" w:rsidRPr="00215F99" w:rsidRDefault="000E61A5" w:rsidP="00717966">
            <w:pPr>
              <w:pStyle w:val="TableText"/>
            </w:pPr>
            <w:r w:rsidRPr="00215F99">
              <w:t>Responsiveness: digital transition</w:t>
            </w:r>
          </w:p>
        </w:tc>
      </w:tr>
      <w:tr w:rsidR="000E61A5" w:rsidRPr="00215F99" w14:paraId="5B1DF4FE" w14:textId="77777777" w:rsidTr="00717966">
        <w:trPr>
          <w:trHeight w:val="20"/>
        </w:trPr>
        <w:tc>
          <w:tcPr>
            <w:tcW w:w="2063" w:type="dxa"/>
            <w:noWrap/>
            <w:hideMark/>
          </w:tcPr>
          <w:p w14:paraId="1D373A2F" w14:textId="77777777" w:rsidR="000E61A5" w:rsidRPr="00215F99" w:rsidRDefault="000E61A5" w:rsidP="00717966">
            <w:pPr>
              <w:pStyle w:val="TableFirstColumn"/>
            </w:pPr>
            <w:r w:rsidRPr="00215F99">
              <w:t>Outcome B.4.3</w:t>
            </w:r>
          </w:p>
        </w:tc>
        <w:tc>
          <w:tcPr>
            <w:tcW w:w="7007" w:type="dxa"/>
            <w:hideMark/>
          </w:tcPr>
          <w:p w14:paraId="6ABFCCBA" w14:textId="77777777" w:rsidR="000E61A5" w:rsidRPr="00215F99" w:rsidRDefault="000E61A5" w:rsidP="00717966">
            <w:pPr>
              <w:pStyle w:val="TableText"/>
            </w:pPr>
            <w:r w:rsidRPr="00215F99">
              <w:t>Responsiveness of programme offering</w:t>
            </w:r>
          </w:p>
        </w:tc>
      </w:tr>
    </w:tbl>
    <w:p w14:paraId="274C8858" w14:textId="77777777" w:rsidR="000E61A5" w:rsidRPr="00215F99" w:rsidRDefault="000E61A5" w:rsidP="000E61A5">
      <w:pPr>
        <w:pStyle w:val="BodyText"/>
        <w:spacing w:before="240"/>
        <w:rPr>
          <w:b/>
          <w:bCs/>
          <w:color w:val="auto"/>
        </w:rPr>
      </w:pPr>
      <w:r w:rsidRPr="00215F99">
        <w:rPr>
          <w:b/>
          <w:bCs/>
          <w:color w:val="auto"/>
        </w:rPr>
        <w:t>C. SYSTEM ORGANISATION</w:t>
      </w:r>
    </w:p>
    <w:tbl>
      <w:tblPr>
        <w:tblStyle w:val="ETF2021"/>
        <w:tblW w:w="9070" w:type="dxa"/>
        <w:tblLook w:val="04A0" w:firstRow="1" w:lastRow="0" w:firstColumn="1" w:lastColumn="0" w:noHBand="0" w:noVBand="1"/>
      </w:tblPr>
      <w:tblGrid>
        <w:gridCol w:w="2070"/>
        <w:gridCol w:w="7000"/>
      </w:tblGrid>
      <w:tr w:rsidR="000E61A5" w:rsidRPr="00215F99" w14:paraId="69A58A8D" w14:textId="77777777" w:rsidTr="00717966">
        <w:trPr>
          <w:cnfStyle w:val="100000000000" w:firstRow="1" w:lastRow="0" w:firstColumn="0" w:lastColumn="0" w:oddVBand="0" w:evenVBand="0" w:oddHBand="0" w:evenHBand="0" w:firstRowFirstColumn="0" w:firstRowLastColumn="0" w:lastRowFirstColumn="0" w:lastRowLastColumn="0"/>
          <w:trHeight w:val="133"/>
        </w:trPr>
        <w:tc>
          <w:tcPr>
            <w:tcW w:w="2070" w:type="dxa"/>
            <w:noWrap/>
            <w:hideMark/>
          </w:tcPr>
          <w:p w14:paraId="3E176A2A" w14:textId="77777777" w:rsidR="000E61A5" w:rsidRPr="00215F99" w:rsidRDefault="000E61A5" w:rsidP="00717966">
            <w:pPr>
              <w:pStyle w:val="TableHeading"/>
            </w:pPr>
            <w:r w:rsidRPr="00215F99">
              <w:t>Dimension C.1</w:t>
            </w:r>
          </w:p>
        </w:tc>
        <w:tc>
          <w:tcPr>
            <w:tcW w:w="7000" w:type="dxa"/>
            <w:hideMark/>
          </w:tcPr>
          <w:p w14:paraId="2350B110" w14:textId="77777777" w:rsidR="000E61A5" w:rsidRPr="00215F99" w:rsidRDefault="000E61A5" w:rsidP="00717966">
            <w:pPr>
              <w:pStyle w:val="TableHeading"/>
            </w:pPr>
            <w:r w:rsidRPr="00215F99">
              <w:t>STEERING AND MANAGEMENT</w:t>
            </w:r>
          </w:p>
        </w:tc>
      </w:tr>
      <w:tr w:rsidR="000E61A5" w:rsidRPr="00215F99" w14:paraId="2197AD30" w14:textId="77777777" w:rsidTr="00717966">
        <w:trPr>
          <w:trHeight w:val="21"/>
        </w:trPr>
        <w:tc>
          <w:tcPr>
            <w:tcW w:w="2070" w:type="dxa"/>
            <w:noWrap/>
            <w:hideMark/>
          </w:tcPr>
          <w:p w14:paraId="0EC137F7" w14:textId="77777777" w:rsidR="000E61A5" w:rsidRPr="00215F99" w:rsidRDefault="000E61A5" w:rsidP="00717966">
            <w:pPr>
              <w:pStyle w:val="TableFirstColumn"/>
            </w:pPr>
            <w:r w:rsidRPr="00215F99">
              <w:t>Outcome C.1.1</w:t>
            </w:r>
          </w:p>
        </w:tc>
        <w:tc>
          <w:tcPr>
            <w:tcW w:w="7000" w:type="dxa"/>
            <w:hideMark/>
          </w:tcPr>
          <w:p w14:paraId="258CB20F" w14:textId="77777777" w:rsidR="000E61A5" w:rsidRPr="00215F99" w:rsidRDefault="000E61A5" w:rsidP="00717966">
            <w:pPr>
              <w:pStyle w:val="TableText"/>
            </w:pPr>
            <w:r w:rsidRPr="00215F99">
              <w:t>Data availability and use</w:t>
            </w:r>
          </w:p>
        </w:tc>
      </w:tr>
      <w:tr w:rsidR="000E61A5" w:rsidRPr="00215F99" w14:paraId="2FC3703B" w14:textId="77777777" w:rsidTr="00717966">
        <w:trPr>
          <w:trHeight w:val="21"/>
        </w:trPr>
        <w:tc>
          <w:tcPr>
            <w:tcW w:w="2070" w:type="dxa"/>
            <w:noWrap/>
            <w:hideMark/>
          </w:tcPr>
          <w:p w14:paraId="52DBC5B4" w14:textId="77777777" w:rsidR="000E61A5" w:rsidRPr="00215F99" w:rsidRDefault="000E61A5" w:rsidP="00717966">
            <w:pPr>
              <w:pStyle w:val="TableFirstColumn"/>
            </w:pPr>
            <w:r w:rsidRPr="00215F99">
              <w:t>Outcome C.1.3</w:t>
            </w:r>
          </w:p>
        </w:tc>
        <w:tc>
          <w:tcPr>
            <w:tcW w:w="7000" w:type="dxa"/>
            <w:hideMark/>
          </w:tcPr>
          <w:p w14:paraId="543C7E3B" w14:textId="77777777" w:rsidR="000E61A5" w:rsidRPr="00215F99" w:rsidRDefault="000E61A5" w:rsidP="00717966">
            <w:pPr>
              <w:pStyle w:val="TableText"/>
            </w:pPr>
            <w:r w:rsidRPr="00215F99">
              <w:t>Quality assurance</w:t>
            </w:r>
          </w:p>
        </w:tc>
      </w:tr>
      <w:tr w:rsidR="000E61A5" w:rsidRPr="00215F99" w14:paraId="5AD9CCFB" w14:textId="77777777" w:rsidTr="00717966">
        <w:trPr>
          <w:trHeight w:val="21"/>
        </w:trPr>
        <w:tc>
          <w:tcPr>
            <w:tcW w:w="2070" w:type="dxa"/>
            <w:noWrap/>
            <w:hideMark/>
          </w:tcPr>
          <w:p w14:paraId="77B55641" w14:textId="77777777" w:rsidR="000E61A5" w:rsidRPr="00215F99" w:rsidRDefault="000E61A5" w:rsidP="00717966">
            <w:pPr>
              <w:pStyle w:val="TableFirstColumn"/>
            </w:pPr>
            <w:r w:rsidRPr="00215F99">
              <w:t>Outcome C.1.4</w:t>
            </w:r>
          </w:p>
        </w:tc>
        <w:tc>
          <w:tcPr>
            <w:tcW w:w="7000" w:type="dxa"/>
            <w:hideMark/>
          </w:tcPr>
          <w:p w14:paraId="02BAFF1E" w14:textId="77777777" w:rsidR="000E61A5" w:rsidRPr="00215F99" w:rsidRDefault="000E61A5" w:rsidP="00717966">
            <w:pPr>
              <w:pStyle w:val="TableText"/>
            </w:pPr>
            <w:r w:rsidRPr="00215F99">
              <w:t>Professional capacity of staff in leadership positions</w:t>
            </w:r>
          </w:p>
        </w:tc>
      </w:tr>
      <w:tr w:rsidR="000E61A5" w:rsidRPr="00215F99" w14:paraId="3B50C810" w14:textId="77777777" w:rsidTr="00717966">
        <w:trPr>
          <w:trHeight w:val="21"/>
        </w:trPr>
        <w:tc>
          <w:tcPr>
            <w:tcW w:w="2070" w:type="dxa"/>
            <w:tcBorders>
              <w:bottom w:val="single" w:sz="12" w:space="0" w:color="0092BB"/>
            </w:tcBorders>
            <w:noWrap/>
            <w:hideMark/>
          </w:tcPr>
          <w:p w14:paraId="7099A408" w14:textId="77777777" w:rsidR="000E61A5" w:rsidRPr="00215F99" w:rsidRDefault="000E61A5" w:rsidP="00717966">
            <w:pPr>
              <w:pStyle w:val="TableFirstColumn"/>
            </w:pPr>
            <w:r w:rsidRPr="00215F99">
              <w:t>Outcome C.1.5</w:t>
            </w:r>
          </w:p>
        </w:tc>
        <w:tc>
          <w:tcPr>
            <w:tcW w:w="7000" w:type="dxa"/>
            <w:tcBorders>
              <w:bottom w:val="single" w:sz="12" w:space="0" w:color="0092BB"/>
            </w:tcBorders>
            <w:hideMark/>
          </w:tcPr>
          <w:p w14:paraId="5136B87F" w14:textId="77777777" w:rsidR="000E61A5" w:rsidRPr="00215F99" w:rsidRDefault="000E61A5" w:rsidP="00717966">
            <w:pPr>
              <w:pStyle w:val="TableText"/>
            </w:pPr>
            <w:r w:rsidRPr="00215F99">
              <w:t>Internationalisation</w:t>
            </w:r>
          </w:p>
        </w:tc>
      </w:tr>
      <w:tr w:rsidR="000E61A5" w:rsidRPr="00215F99" w14:paraId="7D25139A" w14:textId="77777777" w:rsidTr="00717966">
        <w:trPr>
          <w:trHeight w:val="25"/>
        </w:trPr>
        <w:tc>
          <w:tcPr>
            <w:tcW w:w="2070" w:type="dxa"/>
            <w:tcBorders>
              <w:top w:val="single" w:sz="12" w:space="0" w:color="0092BB"/>
              <w:bottom w:val="single" w:sz="12" w:space="0" w:color="0092BB"/>
            </w:tcBorders>
            <w:noWrap/>
            <w:hideMark/>
          </w:tcPr>
          <w:p w14:paraId="2517E52E" w14:textId="77777777" w:rsidR="000E61A5" w:rsidRPr="00215F99" w:rsidRDefault="000E61A5" w:rsidP="00717966">
            <w:pPr>
              <w:pStyle w:val="TableHeading"/>
            </w:pPr>
            <w:r w:rsidRPr="00215F99">
              <w:t xml:space="preserve">Dimension C.2 </w:t>
            </w:r>
          </w:p>
        </w:tc>
        <w:tc>
          <w:tcPr>
            <w:tcW w:w="7000" w:type="dxa"/>
            <w:tcBorders>
              <w:top w:val="single" w:sz="12" w:space="0" w:color="0092BB"/>
              <w:bottom w:val="single" w:sz="12" w:space="0" w:color="0092BB"/>
            </w:tcBorders>
            <w:hideMark/>
          </w:tcPr>
          <w:p w14:paraId="20BFE79C" w14:textId="77777777" w:rsidR="000E61A5" w:rsidRPr="00215F99" w:rsidRDefault="000E61A5" w:rsidP="00717966">
            <w:pPr>
              <w:pStyle w:val="TableHeading"/>
            </w:pPr>
            <w:r w:rsidRPr="00215F99">
              <w:t>RESOURCING</w:t>
            </w:r>
          </w:p>
        </w:tc>
      </w:tr>
      <w:tr w:rsidR="000E61A5" w:rsidRPr="00215F99" w14:paraId="47F24E91" w14:textId="77777777" w:rsidTr="00717966">
        <w:trPr>
          <w:trHeight w:val="25"/>
        </w:trPr>
        <w:tc>
          <w:tcPr>
            <w:tcW w:w="2070" w:type="dxa"/>
            <w:tcBorders>
              <w:top w:val="single" w:sz="12" w:space="0" w:color="0092BB"/>
            </w:tcBorders>
            <w:noWrap/>
            <w:hideMark/>
          </w:tcPr>
          <w:p w14:paraId="126DE32C" w14:textId="77777777" w:rsidR="000E61A5" w:rsidRPr="00215F99" w:rsidRDefault="000E61A5" w:rsidP="00717966">
            <w:pPr>
              <w:pStyle w:val="TableFirstColumn"/>
            </w:pPr>
            <w:r w:rsidRPr="00215F99">
              <w:t>Outcome C.2.1</w:t>
            </w:r>
          </w:p>
        </w:tc>
        <w:tc>
          <w:tcPr>
            <w:tcW w:w="7000" w:type="dxa"/>
            <w:tcBorders>
              <w:top w:val="single" w:sz="12" w:space="0" w:color="0092BB"/>
            </w:tcBorders>
            <w:hideMark/>
          </w:tcPr>
          <w:p w14:paraId="1CB0DBF0" w14:textId="77777777" w:rsidR="000E61A5" w:rsidRPr="00215F99" w:rsidRDefault="000E61A5" w:rsidP="00717966">
            <w:pPr>
              <w:pStyle w:val="TableText"/>
            </w:pPr>
            <w:r w:rsidRPr="00215F99">
              <w:t>Financial resource allocation and use</w:t>
            </w:r>
          </w:p>
        </w:tc>
      </w:tr>
      <w:tr w:rsidR="000E61A5" w:rsidRPr="00215F99" w14:paraId="123E947F" w14:textId="77777777" w:rsidTr="00717966">
        <w:trPr>
          <w:trHeight w:val="198"/>
        </w:trPr>
        <w:tc>
          <w:tcPr>
            <w:tcW w:w="2070" w:type="dxa"/>
            <w:noWrap/>
            <w:hideMark/>
          </w:tcPr>
          <w:p w14:paraId="35BCFC59" w14:textId="77777777" w:rsidR="000E61A5" w:rsidRPr="00215F99" w:rsidRDefault="000E61A5" w:rsidP="00717966">
            <w:pPr>
              <w:pStyle w:val="TableFirstColumn"/>
            </w:pPr>
            <w:r w:rsidRPr="00215F99">
              <w:t>Outcome C.2.2</w:t>
            </w:r>
          </w:p>
        </w:tc>
        <w:tc>
          <w:tcPr>
            <w:tcW w:w="7000" w:type="dxa"/>
            <w:hideMark/>
          </w:tcPr>
          <w:p w14:paraId="2E29BCD9" w14:textId="77777777" w:rsidR="000E61A5" w:rsidRPr="00215F99" w:rsidRDefault="000E61A5" w:rsidP="00717966">
            <w:pPr>
              <w:pStyle w:val="TableText"/>
            </w:pPr>
            <w:r w:rsidRPr="00215F99">
              <w:t>Human resource allocation and use</w:t>
            </w:r>
          </w:p>
        </w:tc>
      </w:tr>
      <w:tr w:rsidR="000E61A5" w:rsidRPr="00215F99" w14:paraId="124434F2" w14:textId="77777777" w:rsidTr="00717966">
        <w:trPr>
          <w:trHeight w:val="17"/>
        </w:trPr>
        <w:tc>
          <w:tcPr>
            <w:tcW w:w="2070" w:type="dxa"/>
            <w:noWrap/>
            <w:hideMark/>
          </w:tcPr>
          <w:p w14:paraId="05D38071" w14:textId="77777777" w:rsidR="000E61A5" w:rsidRPr="00215F99" w:rsidRDefault="000E61A5" w:rsidP="00717966">
            <w:pPr>
              <w:pStyle w:val="TableFirstColumn"/>
              <w:spacing w:before="240"/>
            </w:pPr>
            <w:r w:rsidRPr="00215F99">
              <w:t>Outcome C.2.3</w:t>
            </w:r>
          </w:p>
        </w:tc>
        <w:tc>
          <w:tcPr>
            <w:tcW w:w="7000" w:type="dxa"/>
            <w:hideMark/>
          </w:tcPr>
          <w:p w14:paraId="1DF31A49" w14:textId="77777777" w:rsidR="000E61A5" w:rsidRPr="00215F99" w:rsidRDefault="000E61A5" w:rsidP="00717966">
            <w:pPr>
              <w:pStyle w:val="TableText"/>
              <w:spacing w:before="240"/>
            </w:pPr>
            <w:r w:rsidRPr="00215F99">
              <w:t>Material base for teaching and learning</w:t>
            </w:r>
          </w:p>
        </w:tc>
      </w:tr>
    </w:tbl>
    <w:p w14:paraId="5DAFD3E5" w14:textId="77777777" w:rsidR="000E61A5" w:rsidRPr="00215F99" w:rsidRDefault="000E61A5" w:rsidP="000E61A5">
      <w:pPr>
        <w:pStyle w:val="BodyText"/>
        <w:spacing w:before="240"/>
      </w:pPr>
      <w:bookmarkStart w:id="18" w:name="_Hlk198636305"/>
      <w:r w:rsidRPr="00215F99">
        <w:t>These 19 outcomes describe the key commitments that education and training systems are expected to deliver regardless of learner demographics. However, to accurately assess whether these commitments are being met, it is essential to connect these outcomes to the specific groups of learners they are intended to serve</w:t>
      </w:r>
      <w:bookmarkEnd w:id="18"/>
      <w:r w:rsidRPr="00215F99">
        <w:t xml:space="preserve"> in an acknowledgement that educational and training systems must do more than just meet average benchmarks; they must also ensure that diverse groups of learners – such as female students, socioeconomically disadvantaged individuals, or adults at risk of exclusion – are being effectively supported in alignment with the commitments countries have made to them.</w:t>
      </w:r>
    </w:p>
    <w:p w14:paraId="3D60E9EF" w14:textId="77777777" w:rsidR="000E61A5" w:rsidRPr="00215F99" w:rsidRDefault="000E61A5" w:rsidP="000E61A5">
      <w:pPr>
        <w:pStyle w:val="BodyText"/>
        <w:spacing w:after="240"/>
      </w:pPr>
      <w:bookmarkStart w:id="19" w:name="_Hlk198636330"/>
      <w:r w:rsidRPr="00215F99">
        <w:t>To effectively monitor this, each of the 19 outcomes is tracked – where conceptually relevant – for up to four specific learner groups. These learner groups are referred to as "</w:t>
      </w:r>
      <w:r w:rsidRPr="00215F99">
        <w:rPr>
          <w:b/>
          <w:bCs/>
        </w:rPr>
        <w:t>monitoring targets</w:t>
      </w:r>
      <w:r w:rsidRPr="00215F99">
        <w:t>" (</w:t>
      </w:r>
      <w:r w:rsidRPr="00215F99">
        <w:rPr>
          <w:b/>
          <w:bCs/>
        </w:rPr>
        <w:t>MTs</w:t>
      </w:r>
      <w:r w:rsidRPr="00215F99">
        <w:t xml:space="preserve">) because they represent distinct focal points of the monitoring efforts. The monitoring targets thus serve as practical reference points to determine whether the expected outcomes are being achieved for each learner group. </w:t>
      </w:r>
    </w:p>
    <w:p w14:paraId="49FB4553" w14:textId="77777777" w:rsidR="000E61A5" w:rsidRPr="00215F99" w:rsidRDefault="000E61A5" w:rsidP="000E61A5">
      <w:pPr>
        <w:pStyle w:val="BodyText"/>
        <w:spacing w:after="240"/>
      </w:pPr>
      <w:r w:rsidRPr="00215F99">
        <w:lastRenderedPageBreak/>
        <w:t>The Torino Process system performance monitoring targets in 2025 are as follows:</w:t>
      </w:r>
    </w:p>
    <w:bookmarkEnd w:id="19"/>
    <w:p w14:paraId="479F5047" w14:textId="77777777" w:rsidR="000E61A5" w:rsidRPr="00215F99" w:rsidRDefault="000E61A5" w:rsidP="000E61A5">
      <w:pPr>
        <w:pStyle w:val="BodyText"/>
        <w:numPr>
          <w:ilvl w:val="0"/>
          <w:numId w:val="41"/>
        </w:numPr>
        <w:ind w:left="714" w:hanging="357"/>
        <w:contextualSpacing/>
      </w:pPr>
      <w:r w:rsidRPr="00215F99">
        <w:rPr>
          <w:b/>
          <w:bCs/>
        </w:rPr>
        <w:t>MT1:</w:t>
      </w:r>
      <w:r w:rsidRPr="00215F99">
        <w:t xml:space="preserve"> Core target reflecting general system performance (no disaggregation)</w:t>
      </w:r>
    </w:p>
    <w:p w14:paraId="45D78670" w14:textId="77777777" w:rsidR="000E61A5" w:rsidRPr="00215F99" w:rsidRDefault="000E61A5" w:rsidP="000E61A5">
      <w:pPr>
        <w:pStyle w:val="BodyText"/>
        <w:numPr>
          <w:ilvl w:val="0"/>
          <w:numId w:val="41"/>
        </w:numPr>
        <w:ind w:left="714" w:hanging="357"/>
        <w:contextualSpacing/>
      </w:pPr>
      <w:r w:rsidRPr="00215F99">
        <w:rPr>
          <w:b/>
          <w:bCs/>
        </w:rPr>
        <w:t>MT2:</w:t>
      </w:r>
      <w:r w:rsidRPr="00215F99">
        <w:t xml:space="preserve"> Gender-specific performance (female and male learners separately)</w:t>
      </w:r>
    </w:p>
    <w:p w14:paraId="784D5DF0" w14:textId="77777777" w:rsidR="000E61A5" w:rsidRPr="00215F99" w:rsidRDefault="000E61A5" w:rsidP="000E61A5">
      <w:pPr>
        <w:pStyle w:val="BodyText"/>
        <w:numPr>
          <w:ilvl w:val="0"/>
          <w:numId w:val="41"/>
        </w:numPr>
        <w:ind w:left="714" w:hanging="357"/>
        <w:contextualSpacing/>
      </w:pPr>
      <w:r w:rsidRPr="00215F99">
        <w:rPr>
          <w:b/>
          <w:bCs/>
        </w:rPr>
        <w:t>MT3:</w:t>
      </w:r>
      <w:r w:rsidRPr="00215F99">
        <w:t xml:space="preserve"> Performance in support of socio-economically disadvantaged youth</w:t>
      </w:r>
    </w:p>
    <w:p w14:paraId="4B19A591" w14:textId="77777777" w:rsidR="000E61A5" w:rsidRPr="00215F99" w:rsidRDefault="000E61A5" w:rsidP="000E61A5">
      <w:pPr>
        <w:pStyle w:val="BodyText"/>
        <w:numPr>
          <w:ilvl w:val="0"/>
          <w:numId w:val="41"/>
        </w:numPr>
        <w:ind w:left="714" w:hanging="357"/>
        <w:contextualSpacing/>
      </w:pPr>
      <w:r w:rsidRPr="00215F99">
        <w:rPr>
          <w:b/>
          <w:bCs/>
        </w:rPr>
        <w:t>MT4:</w:t>
      </w:r>
      <w:r w:rsidRPr="00215F99">
        <w:t xml:space="preserve"> Performance in support of adults at risk because of low or no formal education</w:t>
      </w:r>
    </w:p>
    <w:p w14:paraId="31F17C60" w14:textId="77777777" w:rsidR="000E61A5" w:rsidRPr="00215F99" w:rsidRDefault="000E61A5" w:rsidP="000E61A5">
      <w:pPr>
        <w:pStyle w:val="BodyText"/>
        <w:spacing w:before="360"/>
      </w:pPr>
      <w:r w:rsidRPr="00215F99">
        <w:t>Table 4 shows, for each outcome, which groups of learners are the targets of monitoring for equity purposes, to a total of 32 targets across the framework.</w:t>
      </w:r>
    </w:p>
    <w:p w14:paraId="183D3A68" w14:textId="77777777" w:rsidR="000E61A5" w:rsidRPr="00215F99" w:rsidRDefault="000E61A5" w:rsidP="000E61A5">
      <w:pPr>
        <w:pStyle w:val="TableTitle"/>
      </w:pPr>
      <w:r w:rsidRPr="00215F99">
        <w:t>Table 4. Learners in focus of monitoring, by outcome</w:t>
      </w:r>
    </w:p>
    <w:tbl>
      <w:tblPr>
        <w:tblW w:w="0" w:type="auto"/>
        <w:tblLayout w:type="fixed"/>
        <w:tblLook w:val="04A0" w:firstRow="1" w:lastRow="0" w:firstColumn="1" w:lastColumn="0" w:noHBand="0" w:noVBand="1"/>
      </w:tblPr>
      <w:tblGrid>
        <w:gridCol w:w="851"/>
        <w:gridCol w:w="1559"/>
        <w:gridCol w:w="3402"/>
        <w:gridCol w:w="709"/>
        <w:gridCol w:w="850"/>
        <w:gridCol w:w="851"/>
        <w:gridCol w:w="848"/>
      </w:tblGrid>
      <w:tr w:rsidR="000E61A5" w:rsidRPr="00215F99" w14:paraId="0B219314" w14:textId="77777777" w:rsidTr="00717966">
        <w:trPr>
          <w:trHeight w:val="410"/>
        </w:trPr>
        <w:tc>
          <w:tcPr>
            <w:tcW w:w="851" w:type="dxa"/>
            <w:vMerge w:val="restart"/>
            <w:tcBorders>
              <w:top w:val="single" w:sz="8" w:space="0" w:color="0F9ED5"/>
              <w:left w:val="nil"/>
              <w:bottom w:val="single" w:sz="8" w:space="0" w:color="0F9ED5"/>
              <w:right w:val="single" w:sz="4" w:space="0" w:color="BFBFBF"/>
            </w:tcBorders>
            <w:shd w:val="clear" w:color="000000" w:fill="F2F2F2"/>
            <w:vAlign w:val="center"/>
            <w:hideMark/>
          </w:tcPr>
          <w:p w14:paraId="7FF65EDA" w14:textId="77777777" w:rsidR="000E61A5" w:rsidRPr="00215F99" w:rsidRDefault="000E61A5" w:rsidP="00717966">
            <w:pPr>
              <w:spacing w:after="0" w:line="240" w:lineRule="auto"/>
              <w:jc w:val="center"/>
              <w:rPr>
                <w:rFonts w:eastAsia="Times New Roman" w:cstheme="minorHAnsi"/>
                <w:b/>
                <w:bCs/>
                <w:color w:val="0092BB"/>
                <w:sz w:val="18"/>
                <w:szCs w:val="18"/>
              </w:rPr>
            </w:pPr>
            <w:r w:rsidRPr="00215F99">
              <w:rPr>
                <w:rFonts w:eastAsia="Times New Roman" w:cstheme="minorHAnsi"/>
                <w:b/>
                <w:bCs/>
                <w:color w:val="0092BB"/>
                <w:sz w:val="18"/>
                <w:szCs w:val="18"/>
              </w:rPr>
              <w:t>Areas</w:t>
            </w:r>
          </w:p>
        </w:tc>
        <w:tc>
          <w:tcPr>
            <w:tcW w:w="1559" w:type="dxa"/>
            <w:vMerge w:val="restart"/>
            <w:tcBorders>
              <w:top w:val="single" w:sz="8" w:space="0" w:color="0F9ED5"/>
              <w:left w:val="nil"/>
              <w:bottom w:val="single" w:sz="8" w:space="0" w:color="0F9ED5"/>
              <w:right w:val="single" w:sz="4" w:space="0" w:color="BFBFBF"/>
            </w:tcBorders>
            <w:shd w:val="clear" w:color="000000" w:fill="F2F2F2"/>
            <w:vAlign w:val="center"/>
            <w:hideMark/>
          </w:tcPr>
          <w:p w14:paraId="29A1BE71" w14:textId="77777777" w:rsidR="000E61A5" w:rsidRPr="00215F99" w:rsidRDefault="000E61A5" w:rsidP="00717966">
            <w:pPr>
              <w:spacing w:after="0" w:line="240" w:lineRule="auto"/>
              <w:jc w:val="center"/>
              <w:rPr>
                <w:rFonts w:eastAsia="Times New Roman" w:cstheme="minorHAnsi"/>
                <w:b/>
                <w:bCs/>
                <w:color w:val="0092BB"/>
                <w:sz w:val="18"/>
                <w:szCs w:val="18"/>
              </w:rPr>
            </w:pPr>
            <w:r w:rsidRPr="00215F99">
              <w:rPr>
                <w:rFonts w:eastAsia="Times New Roman" w:cstheme="minorHAnsi"/>
                <w:b/>
                <w:bCs/>
                <w:color w:val="0092BB"/>
                <w:sz w:val="18"/>
                <w:szCs w:val="18"/>
              </w:rPr>
              <w:t>Monitoring dimensions</w:t>
            </w:r>
          </w:p>
        </w:tc>
        <w:tc>
          <w:tcPr>
            <w:tcW w:w="3402" w:type="dxa"/>
            <w:vMerge w:val="restart"/>
            <w:tcBorders>
              <w:top w:val="single" w:sz="8" w:space="0" w:color="0F9ED5"/>
              <w:left w:val="single" w:sz="4" w:space="0" w:color="BFBFBF"/>
              <w:bottom w:val="single" w:sz="8" w:space="0" w:color="0F9ED5"/>
              <w:right w:val="single" w:sz="4" w:space="0" w:color="BFBFBF"/>
            </w:tcBorders>
            <w:shd w:val="clear" w:color="000000" w:fill="F2F2F2"/>
            <w:vAlign w:val="center"/>
            <w:hideMark/>
          </w:tcPr>
          <w:p w14:paraId="3D13C899" w14:textId="77777777" w:rsidR="000E61A5" w:rsidRPr="00215F99" w:rsidRDefault="000E61A5" w:rsidP="00717966">
            <w:pPr>
              <w:spacing w:after="0" w:line="240" w:lineRule="auto"/>
              <w:jc w:val="center"/>
              <w:rPr>
                <w:rFonts w:eastAsia="Times New Roman" w:cstheme="minorHAnsi"/>
                <w:b/>
                <w:bCs/>
                <w:color w:val="0092BB"/>
                <w:sz w:val="18"/>
                <w:szCs w:val="18"/>
              </w:rPr>
            </w:pPr>
            <w:r w:rsidRPr="00215F99">
              <w:rPr>
                <w:rFonts w:eastAsia="Times New Roman" w:cstheme="minorHAnsi"/>
                <w:b/>
                <w:bCs/>
                <w:color w:val="0092BB"/>
                <w:sz w:val="18"/>
                <w:szCs w:val="18"/>
              </w:rPr>
              <w:t>Outcomes in focus of monitoring</w:t>
            </w:r>
          </w:p>
        </w:tc>
        <w:tc>
          <w:tcPr>
            <w:tcW w:w="3258" w:type="dxa"/>
            <w:gridSpan w:val="4"/>
            <w:tcBorders>
              <w:top w:val="single" w:sz="8" w:space="0" w:color="0F9ED5"/>
              <w:left w:val="nil"/>
              <w:bottom w:val="single" w:sz="4" w:space="0" w:color="BFBFBF"/>
              <w:right w:val="nil"/>
            </w:tcBorders>
            <w:shd w:val="clear" w:color="000000" w:fill="F2F2F2"/>
            <w:vAlign w:val="center"/>
            <w:hideMark/>
          </w:tcPr>
          <w:p w14:paraId="3B035D5D" w14:textId="77777777" w:rsidR="000E61A5" w:rsidRPr="00215F99" w:rsidRDefault="000E61A5" w:rsidP="00717966">
            <w:pPr>
              <w:spacing w:after="0" w:line="240" w:lineRule="auto"/>
              <w:jc w:val="center"/>
              <w:rPr>
                <w:rFonts w:eastAsia="Times New Roman" w:cstheme="minorHAnsi"/>
                <w:b/>
                <w:bCs/>
                <w:color w:val="0092BB"/>
                <w:sz w:val="18"/>
                <w:szCs w:val="18"/>
              </w:rPr>
            </w:pPr>
            <w:r w:rsidRPr="00215F99">
              <w:rPr>
                <w:rFonts w:eastAsia="Times New Roman" w:cstheme="minorHAnsi"/>
                <w:b/>
                <w:bCs/>
                <w:color w:val="0092BB"/>
                <w:sz w:val="18"/>
                <w:szCs w:val="18"/>
              </w:rPr>
              <w:t>Learner groups</w:t>
            </w:r>
          </w:p>
        </w:tc>
      </w:tr>
      <w:tr w:rsidR="000E61A5" w:rsidRPr="00215F99" w14:paraId="3AEE0C93" w14:textId="77777777" w:rsidTr="00717966">
        <w:trPr>
          <w:trHeight w:val="656"/>
        </w:trPr>
        <w:tc>
          <w:tcPr>
            <w:tcW w:w="851" w:type="dxa"/>
            <w:vMerge/>
            <w:tcBorders>
              <w:top w:val="single" w:sz="8" w:space="0" w:color="0F9ED5"/>
              <w:left w:val="nil"/>
              <w:bottom w:val="single" w:sz="8" w:space="0" w:color="0F9ED5"/>
              <w:right w:val="single" w:sz="4" w:space="0" w:color="BFBFBF"/>
            </w:tcBorders>
            <w:vAlign w:val="center"/>
            <w:hideMark/>
          </w:tcPr>
          <w:p w14:paraId="22141506" w14:textId="77777777" w:rsidR="000E61A5" w:rsidRPr="00215F99" w:rsidRDefault="000E61A5" w:rsidP="00717966">
            <w:pPr>
              <w:spacing w:after="0" w:line="240" w:lineRule="auto"/>
              <w:rPr>
                <w:rFonts w:eastAsia="Times New Roman" w:cstheme="minorHAnsi"/>
                <w:b/>
                <w:bCs/>
                <w:color w:val="0092BB"/>
                <w:sz w:val="18"/>
                <w:szCs w:val="18"/>
              </w:rPr>
            </w:pPr>
          </w:p>
        </w:tc>
        <w:tc>
          <w:tcPr>
            <w:tcW w:w="1559" w:type="dxa"/>
            <w:vMerge/>
            <w:tcBorders>
              <w:top w:val="single" w:sz="8" w:space="0" w:color="0F9ED5"/>
              <w:left w:val="nil"/>
              <w:bottom w:val="single" w:sz="8" w:space="0" w:color="0F9ED5"/>
              <w:right w:val="single" w:sz="4" w:space="0" w:color="BFBFBF"/>
            </w:tcBorders>
            <w:vAlign w:val="center"/>
            <w:hideMark/>
          </w:tcPr>
          <w:p w14:paraId="777747D7" w14:textId="77777777" w:rsidR="000E61A5" w:rsidRPr="00215F99" w:rsidRDefault="000E61A5" w:rsidP="00717966">
            <w:pPr>
              <w:spacing w:after="0" w:line="240" w:lineRule="auto"/>
              <w:rPr>
                <w:rFonts w:eastAsia="Times New Roman" w:cstheme="minorHAnsi"/>
                <w:b/>
                <w:bCs/>
                <w:color w:val="0092BB"/>
                <w:sz w:val="18"/>
                <w:szCs w:val="18"/>
              </w:rPr>
            </w:pPr>
          </w:p>
        </w:tc>
        <w:tc>
          <w:tcPr>
            <w:tcW w:w="3402" w:type="dxa"/>
            <w:vMerge/>
            <w:tcBorders>
              <w:top w:val="single" w:sz="8" w:space="0" w:color="0F9ED5"/>
              <w:left w:val="single" w:sz="4" w:space="0" w:color="BFBFBF"/>
              <w:bottom w:val="single" w:sz="8" w:space="0" w:color="0F9ED5"/>
              <w:right w:val="single" w:sz="4" w:space="0" w:color="BFBFBF"/>
            </w:tcBorders>
            <w:vAlign w:val="center"/>
            <w:hideMark/>
          </w:tcPr>
          <w:p w14:paraId="360BF9F1" w14:textId="77777777" w:rsidR="000E61A5" w:rsidRPr="00215F99" w:rsidRDefault="000E61A5" w:rsidP="00717966">
            <w:pPr>
              <w:spacing w:after="0" w:line="240" w:lineRule="auto"/>
              <w:rPr>
                <w:rFonts w:eastAsia="Times New Roman" w:cstheme="minorHAnsi"/>
                <w:b/>
                <w:bCs/>
                <w:color w:val="0092BB"/>
                <w:sz w:val="18"/>
                <w:szCs w:val="18"/>
              </w:rPr>
            </w:pPr>
          </w:p>
        </w:tc>
        <w:tc>
          <w:tcPr>
            <w:tcW w:w="709" w:type="dxa"/>
            <w:tcBorders>
              <w:top w:val="nil"/>
              <w:left w:val="nil"/>
              <w:bottom w:val="single" w:sz="8" w:space="0" w:color="0F9ED5"/>
              <w:right w:val="single" w:sz="4" w:space="0" w:color="BFBFBF"/>
            </w:tcBorders>
            <w:shd w:val="clear" w:color="000000" w:fill="F2F2F2"/>
            <w:vAlign w:val="center"/>
            <w:hideMark/>
          </w:tcPr>
          <w:p w14:paraId="04806FB1" w14:textId="77777777" w:rsidR="000E61A5" w:rsidRPr="00215F99" w:rsidRDefault="000E61A5" w:rsidP="00717966">
            <w:pPr>
              <w:spacing w:after="0" w:line="240" w:lineRule="auto"/>
              <w:jc w:val="center"/>
              <w:rPr>
                <w:rFonts w:eastAsia="Times New Roman" w:cstheme="minorHAnsi"/>
                <w:b/>
                <w:bCs/>
                <w:color w:val="000000"/>
                <w:sz w:val="17"/>
                <w:szCs w:val="17"/>
              </w:rPr>
            </w:pPr>
            <w:r w:rsidRPr="00215F99">
              <w:rPr>
                <w:rFonts w:eastAsia="Times New Roman" w:cstheme="minorHAnsi"/>
                <w:b/>
                <w:bCs/>
                <w:color w:val="000000"/>
                <w:sz w:val="17"/>
                <w:szCs w:val="17"/>
              </w:rPr>
              <w:t xml:space="preserve">MT1 - </w:t>
            </w:r>
            <w:r w:rsidRPr="00215F99">
              <w:rPr>
                <w:rFonts w:eastAsia="Times New Roman" w:cstheme="minorHAnsi"/>
                <w:b/>
                <w:bCs/>
                <w:color w:val="000000"/>
                <w:sz w:val="17"/>
                <w:szCs w:val="17"/>
              </w:rPr>
              <w:br/>
              <w:t>core</w:t>
            </w:r>
          </w:p>
        </w:tc>
        <w:tc>
          <w:tcPr>
            <w:tcW w:w="850" w:type="dxa"/>
            <w:tcBorders>
              <w:top w:val="nil"/>
              <w:left w:val="nil"/>
              <w:bottom w:val="single" w:sz="8" w:space="0" w:color="0F9ED5"/>
              <w:right w:val="single" w:sz="4" w:space="0" w:color="BFBFBF"/>
            </w:tcBorders>
            <w:shd w:val="clear" w:color="000000" w:fill="F2F2F2"/>
            <w:vAlign w:val="center"/>
            <w:hideMark/>
          </w:tcPr>
          <w:p w14:paraId="4E49844F" w14:textId="77777777" w:rsidR="000E61A5" w:rsidRPr="00215F99" w:rsidRDefault="000E61A5" w:rsidP="00717966">
            <w:pPr>
              <w:spacing w:after="0" w:line="240" w:lineRule="auto"/>
              <w:jc w:val="center"/>
              <w:rPr>
                <w:rFonts w:eastAsia="Times New Roman" w:cstheme="minorHAnsi"/>
                <w:b/>
                <w:bCs/>
                <w:color w:val="000000"/>
                <w:sz w:val="17"/>
                <w:szCs w:val="17"/>
              </w:rPr>
            </w:pPr>
            <w:r w:rsidRPr="00215F99">
              <w:rPr>
                <w:rFonts w:eastAsia="Times New Roman" w:cstheme="minorHAnsi"/>
                <w:b/>
                <w:bCs/>
                <w:color w:val="000000"/>
                <w:sz w:val="17"/>
                <w:szCs w:val="17"/>
              </w:rPr>
              <w:t xml:space="preserve">MT2 - </w:t>
            </w:r>
            <w:r w:rsidRPr="00215F99">
              <w:rPr>
                <w:rFonts w:eastAsia="Times New Roman" w:cstheme="minorHAnsi"/>
                <w:b/>
                <w:bCs/>
                <w:color w:val="000000"/>
                <w:sz w:val="17"/>
                <w:szCs w:val="17"/>
              </w:rPr>
              <w:br/>
              <w:t>gender</w:t>
            </w:r>
          </w:p>
        </w:tc>
        <w:tc>
          <w:tcPr>
            <w:tcW w:w="851" w:type="dxa"/>
            <w:tcBorders>
              <w:top w:val="nil"/>
              <w:left w:val="nil"/>
              <w:bottom w:val="single" w:sz="8" w:space="0" w:color="0F9ED5"/>
              <w:right w:val="single" w:sz="4" w:space="0" w:color="BFBFBF"/>
            </w:tcBorders>
            <w:shd w:val="clear" w:color="000000" w:fill="F2F2F2"/>
            <w:vAlign w:val="center"/>
            <w:hideMark/>
          </w:tcPr>
          <w:p w14:paraId="7565AE93" w14:textId="77777777" w:rsidR="000E61A5" w:rsidRPr="00215F99" w:rsidRDefault="000E61A5" w:rsidP="00717966">
            <w:pPr>
              <w:spacing w:after="0" w:line="240" w:lineRule="auto"/>
              <w:jc w:val="center"/>
              <w:rPr>
                <w:rFonts w:eastAsia="Times New Roman" w:cstheme="minorHAnsi"/>
                <w:b/>
                <w:bCs/>
                <w:color w:val="000000"/>
                <w:sz w:val="17"/>
                <w:szCs w:val="17"/>
              </w:rPr>
            </w:pPr>
            <w:r w:rsidRPr="00215F99">
              <w:rPr>
                <w:rFonts w:eastAsia="Times New Roman" w:cstheme="minorHAnsi"/>
                <w:b/>
                <w:bCs/>
                <w:color w:val="000000"/>
                <w:sz w:val="17"/>
                <w:szCs w:val="17"/>
              </w:rPr>
              <w:t xml:space="preserve">MT3 - </w:t>
            </w:r>
            <w:r w:rsidRPr="00215F99">
              <w:rPr>
                <w:rFonts w:eastAsia="Times New Roman" w:cstheme="minorHAnsi"/>
                <w:b/>
                <w:bCs/>
                <w:color w:val="000000"/>
                <w:sz w:val="17"/>
                <w:szCs w:val="17"/>
              </w:rPr>
              <w:br/>
              <w:t>disadv. youth</w:t>
            </w:r>
          </w:p>
        </w:tc>
        <w:tc>
          <w:tcPr>
            <w:tcW w:w="848" w:type="dxa"/>
            <w:tcBorders>
              <w:top w:val="nil"/>
              <w:left w:val="nil"/>
              <w:bottom w:val="single" w:sz="8" w:space="0" w:color="0F9ED5"/>
              <w:right w:val="nil"/>
            </w:tcBorders>
            <w:shd w:val="clear" w:color="000000" w:fill="F2F2F2"/>
            <w:vAlign w:val="center"/>
            <w:hideMark/>
          </w:tcPr>
          <w:p w14:paraId="58E74279" w14:textId="77777777" w:rsidR="000E61A5" w:rsidRPr="00215F99" w:rsidRDefault="000E61A5" w:rsidP="00717966">
            <w:pPr>
              <w:spacing w:after="0" w:line="240" w:lineRule="auto"/>
              <w:jc w:val="center"/>
              <w:rPr>
                <w:rFonts w:eastAsia="Times New Roman" w:cstheme="minorHAnsi"/>
                <w:b/>
                <w:bCs/>
                <w:color w:val="000000"/>
                <w:sz w:val="17"/>
                <w:szCs w:val="17"/>
              </w:rPr>
            </w:pPr>
            <w:r w:rsidRPr="00215F99">
              <w:rPr>
                <w:rFonts w:eastAsia="Times New Roman" w:cstheme="minorHAnsi"/>
                <w:b/>
                <w:bCs/>
                <w:color w:val="000000"/>
                <w:sz w:val="17"/>
                <w:szCs w:val="17"/>
              </w:rPr>
              <w:t xml:space="preserve">MT4 - </w:t>
            </w:r>
            <w:r w:rsidRPr="00215F99">
              <w:rPr>
                <w:rFonts w:eastAsia="Times New Roman" w:cstheme="minorHAnsi"/>
                <w:b/>
                <w:bCs/>
                <w:color w:val="000000"/>
                <w:sz w:val="17"/>
                <w:szCs w:val="17"/>
              </w:rPr>
              <w:br/>
              <w:t>adults/ risk</w:t>
            </w:r>
          </w:p>
        </w:tc>
      </w:tr>
      <w:tr w:rsidR="000E61A5" w:rsidRPr="00215F99" w14:paraId="5E9FC377" w14:textId="77777777" w:rsidTr="00717966">
        <w:trPr>
          <w:trHeight w:val="325"/>
        </w:trPr>
        <w:tc>
          <w:tcPr>
            <w:tcW w:w="851" w:type="dxa"/>
            <w:vMerge w:val="restart"/>
            <w:tcBorders>
              <w:top w:val="nil"/>
              <w:left w:val="nil"/>
              <w:bottom w:val="single" w:sz="8" w:space="0" w:color="BFBFBF"/>
              <w:right w:val="single" w:sz="4" w:space="0" w:color="BFBFBF"/>
            </w:tcBorders>
            <w:shd w:val="clear" w:color="000000" w:fill="F2F2F2"/>
            <w:vAlign w:val="center"/>
            <w:hideMark/>
          </w:tcPr>
          <w:p w14:paraId="59653D77"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b/>
                <w:bCs/>
                <w:color w:val="455560"/>
                <w:sz w:val="17"/>
                <w:szCs w:val="17"/>
              </w:rPr>
              <w:t>A.</w:t>
            </w:r>
            <w:r w:rsidRPr="00215F99">
              <w:rPr>
                <w:rFonts w:eastAsia="Times New Roman" w:cstheme="minorHAnsi"/>
                <w:color w:val="455560"/>
                <w:sz w:val="17"/>
                <w:szCs w:val="17"/>
              </w:rPr>
              <w:t xml:space="preserve"> Access</w:t>
            </w:r>
          </w:p>
        </w:tc>
        <w:tc>
          <w:tcPr>
            <w:tcW w:w="1559" w:type="dxa"/>
            <w:vMerge w:val="restart"/>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BF3E4CF" w14:textId="77777777" w:rsidR="000E61A5" w:rsidRPr="00215F99" w:rsidRDefault="000E61A5" w:rsidP="00717966">
            <w:pPr>
              <w:spacing w:after="0" w:line="240" w:lineRule="auto"/>
              <w:rPr>
                <w:rFonts w:eastAsia="Times New Roman" w:cstheme="minorHAnsi"/>
                <w:b/>
                <w:bCs/>
                <w:color w:val="455560"/>
                <w:sz w:val="17"/>
                <w:szCs w:val="17"/>
              </w:rPr>
            </w:pPr>
            <w:r w:rsidRPr="00215F99">
              <w:rPr>
                <w:rFonts w:eastAsia="Times New Roman" w:cstheme="minorHAnsi"/>
                <w:b/>
                <w:bCs/>
                <w:color w:val="455560"/>
                <w:sz w:val="17"/>
                <w:szCs w:val="17"/>
              </w:rPr>
              <w:t>A.1.</w:t>
            </w:r>
            <w:r w:rsidRPr="00215F99">
              <w:rPr>
                <w:rFonts w:eastAsia="Times New Roman" w:cstheme="minorHAnsi"/>
                <w:color w:val="455560"/>
                <w:sz w:val="17"/>
                <w:szCs w:val="17"/>
              </w:rPr>
              <w:t xml:space="preserve"> Access</w:t>
            </w:r>
          </w:p>
        </w:tc>
        <w:tc>
          <w:tcPr>
            <w:tcW w:w="3402" w:type="dxa"/>
            <w:tcBorders>
              <w:top w:val="nil"/>
              <w:left w:val="nil"/>
              <w:bottom w:val="single" w:sz="4" w:space="0" w:color="BFBFBF"/>
              <w:right w:val="single" w:sz="4" w:space="0" w:color="BFBFBF"/>
            </w:tcBorders>
            <w:shd w:val="clear" w:color="000000" w:fill="F2F2F2"/>
            <w:noWrap/>
            <w:vAlign w:val="center"/>
            <w:hideMark/>
          </w:tcPr>
          <w:p w14:paraId="769DA639" w14:textId="77777777" w:rsidR="000E61A5" w:rsidRPr="00215F99" w:rsidRDefault="000E61A5" w:rsidP="00717966">
            <w:pPr>
              <w:spacing w:after="0" w:line="240" w:lineRule="auto"/>
              <w:rPr>
                <w:rFonts w:eastAsia="Times New Roman" w:cstheme="minorHAnsi"/>
                <w:color w:val="455560"/>
                <w:sz w:val="17"/>
                <w:szCs w:val="17"/>
              </w:rPr>
            </w:pPr>
            <w:r w:rsidRPr="00215F99">
              <w:rPr>
                <w:rFonts w:eastAsia="Times New Roman" w:cstheme="minorHAnsi"/>
                <w:b/>
                <w:bCs/>
                <w:color w:val="455560"/>
                <w:sz w:val="17"/>
                <w:szCs w:val="17"/>
              </w:rPr>
              <w:t>A.1.1</w:t>
            </w:r>
            <w:r w:rsidRPr="00215F99">
              <w:rPr>
                <w:rFonts w:eastAsia="Times New Roman" w:cstheme="minorHAnsi"/>
                <w:color w:val="455560"/>
                <w:sz w:val="17"/>
                <w:szCs w:val="17"/>
              </w:rPr>
              <w:t xml:space="preserve"> Initial VET</w:t>
            </w:r>
          </w:p>
        </w:tc>
        <w:tc>
          <w:tcPr>
            <w:tcW w:w="709" w:type="dxa"/>
            <w:tcBorders>
              <w:top w:val="nil"/>
              <w:left w:val="nil"/>
              <w:bottom w:val="single" w:sz="4" w:space="0" w:color="BFBFBF"/>
              <w:right w:val="single" w:sz="4" w:space="0" w:color="BFBFBF"/>
            </w:tcBorders>
            <w:shd w:val="clear" w:color="000000" w:fill="F2F2F2"/>
            <w:noWrap/>
            <w:vAlign w:val="center"/>
            <w:hideMark/>
          </w:tcPr>
          <w:p w14:paraId="18FECE6C"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0" w:type="dxa"/>
            <w:tcBorders>
              <w:top w:val="nil"/>
              <w:left w:val="nil"/>
              <w:bottom w:val="single" w:sz="4" w:space="0" w:color="BFBFBF"/>
              <w:right w:val="single" w:sz="4" w:space="0" w:color="BFBFBF"/>
            </w:tcBorders>
            <w:shd w:val="clear" w:color="000000" w:fill="F2F2F2"/>
            <w:noWrap/>
            <w:vAlign w:val="center"/>
            <w:hideMark/>
          </w:tcPr>
          <w:p w14:paraId="0241C680"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1" w:type="dxa"/>
            <w:tcBorders>
              <w:top w:val="nil"/>
              <w:left w:val="nil"/>
              <w:bottom w:val="single" w:sz="4" w:space="0" w:color="BFBFBF"/>
              <w:right w:val="single" w:sz="4" w:space="0" w:color="BFBFBF"/>
            </w:tcBorders>
            <w:shd w:val="clear" w:color="000000" w:fill="F2F2F2"/>
            <w:noWrap/>
            <w:vAlign w:val="center"/>
            <w:hideMark/>
          </w:tcPr>
          <w:p w14:paraId="3068D7FF"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48" w:type="dxa"/>
            <w:tcBorders>
              <w:top w:val="nil"/>
              <w:left w:val="nil"/>
              <w:bottom w:val="single" w:sz="4" w:space="0" w:color="BFBFBF"/>
              <w:right w:val="nil"/>
            </w:tcBorders>
            <w:shd w:val="clear" w:color="000000" w:fill="F2F2F2"/>
            <w:noWrap/>
            <w:vAlign w:val="center"/>
            <w:hideMark/>
          </w:tcPr>
          <w:p w14:paraId="41330DA8" w14:textId="77777777" w:rsidR="000E61A5" w:rsidRPr="00215F99" w:rsidRDefault="000E61A5" w:rsidP="00717966">
            <w:pPr>
              <w:spacing w:after="0" w:line="240" w:lineRule="auto"/>
              <w:jc w:val="center"/>
              <w:rPr>
                <w:rFonts w:eastAsia="Times New Roman" w:cstheme="minorHAnsi"/>
                <w:b/>
                <w:bCs/>
                <w:color w:val="455560"/>
                <w:sz w:val="17"/>
                <w:szCs w:val="17"/>
              </w:rPr>
            </w:pPr>
          </w:p>
        </w:tc>
      </w:tr>
      <w:tr w:rsidR="000E61A5" w:rsidRPr="00215F99" w14:paraId="0158ADF8" w14:textId="77777777" w:rsidTr="00717966">
        <w:trPr>
          <w:trHeight w:val="300"/>
        </w:trPr>
        <w:tc>
          <w:tcPr>
            <w:tcW w:w="851" w:type="dxa"/>
            <w:vMerge/>
            <w:tcBorders>
              <w:top w:val="nil"/>
              <w:left w:val="nil"/>
              <w:bottom w:val="single" w:sz="8" w:space="0" w:color="BFBFBF"/>
              <w:right w:val="single" w:sz="4" w:space="0" w:color="BFBFBF"/>
            </w:tcBorders>
            <w:vAlign w:val="center"/>
            <w:hideMark/>
          </w:tcPr>
          <w:p w14:paraId="321A997A" w14:textId="77777777" w:rsidR="000E61A5" w:rsidRPr="00215F99" w:rsidRDefault="000E61A5" w:rsidP="00717966">
            <w:pPr>
              <w:spacing w:after="0" w:line="240" w:lineRule="auto"/>
              <w:rPr>
                <w:rFonts w:eastAsia="Times New Roman" w:cstheme="minorHAnsi"/>
                <w:color w:val="455560"/>
                <w:sz w:val="17"/>
                <w:szCs w:val="17"/>
              </w:rPr>
            </w:pPr>
          </w:p>
        </w:tc>
        <w:tc>
          <w:tcPr>
            <w:tcW w:w="1559" w:type="dxa"/>
            <w:vMerge/>
            <w:tcBorders>
              <w:top w:val="single" w:sz="4" w:space="0" w:color="BFBFBF"/>
              <w:left w:val="single" w:sz="4" w:space="0" w:color="BFBFBF"/>
              <w:bottom w:val="single" w:sz="4" w:space="0" w:color="BFBFBF"/>
              <w:right w:val="single" w:sz="4" w:space="0" w:color="BFBFBF"/>
            </w:tcBorders>
            <w:vAlign w:val="center"/>
            <w:hideMark/>
          </w:tcPr>
          <w:p w14:paraId="417EB0B7" w14:textId="77777777" w:rsidR="000E61A5" w:rsidRPr="00215F99" w:rsidRDefault="000E61A5" w:rsidP="00717966">
            <w:pPr>
              <w:spacing w:after="0" w:line="240" w:lineRule="auto"/>
              <w:rPr>
                <w:rFonts w:eastAsia="Times New Roman" w:cstheme="minorHAnsi"/>
                <w:b/>
                <w:bCs/>
                <w:color w:val="455560"/>
                <w:sz w:val="17"/>
                <w:szCs w:val="17"/>
              </w:rPr>
            </w:pPr>
          </w:p>
        </w:tc>
        <w:tc>
          <w:tcPr>
            <w:tcW w:w="3402" w:type="dxa"/>
            <w:tcBorders>
              <w:top w:val="nil"/>
              <w:left w:val="nil"/>
              <w:bottom w:val="single" w:sz="4" w:space="0" w:color="BFBFBF"/>
              <w:right w:val="single" w:sz="4" w:space="0" w:color="BFBFBF"/>
            </w:tcBorders>
            <w:shd w:val="clear" w:color="000000" w:fill="F2F2F2"/>
            <w:noWrap/>
            <w:vAlign w:val="center"/>
            <w:hideMark/>
          </w:tcPr>
          <w:p w14:paraId="344E3CB0" w14:textId="77777777" w:rsidR="000E61A5" w:rsidRPr="00215F99" w:rsidRDefault="000E61A5" w:rsidP="00717966">
            <w:pPr>
              <w:spacing w:after="0" w:line="240" w:lineRule="auto"/>
              <w:rPr>
                <w:rFonts w:eastAsia="Times New Roman" w:cstheme="minorHAnsi"/>
                <w:color w:val="455560"/>
                <w:sz w:val="17"/>
                <w:szCs w:val="17"/>
              </w:rPr>
            </w:pPr>
            <w:r w:rsidRPr="00215F99">
              <w:rPr>
                <w:rFonts w:eastAsia="Times New Roman" w:cstheme="minorHAnsi"/>
                <w:b/>
                <w:bCs/>
                <w:color w:val="455560"/>
                <w:sz w:val="17"/>
                <w:szCs w:val="17"/>
              </w:rPr>
              <w:t>A.1.2</w:t>
            </w:r>
            <w:r w:rsidRPr="00215F99">
              <w:rPr>
                <w:rFonts w:eastAsia="Times New Roman" w:cstheme="minorHAnsi"/>
                <w:color w:val="455560"/>
                <w:sz w:val="17"/>
                <w:szCs w:val="17"/>
              </w:rPr>
              <w:t xml:space="preserve"> Continuing VET</w:t>
            </w:r>
          </w:p>
        </w:tc>
        <w:tc>
          <w:tcPr>
            <w:tcW w:w="709" w:type="dxa"/>
            <w:tcBorders>
              <w:top w:val="nil"/>
              <w:left w:val="nil"/>
              <w:bottom w:val="single" w:sz="4" w:space="0" w:color="BFBFBF"/>
              <w:right w:val="single" w:sz="4" w:space="0" w:color="BFBFBF"/>
            </w:tcBorders>
            <w:shd w:val="clear" w:color="000000" w:fill="F2F2F2"/>
            <w:noWrap/>
            <w:vAlign w:val="center"/>
            <w:hideMark/>
          </w:tcPr>
          <w:p w14:paraId="387B0E78"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0" w:type="dxa"/>
            <w:tcBorders>
              <w:top w:val="nil"/>
              <w:left w:val="nil"/>
              <w:bottom w:val="single" w:sz="4" w:space="0" w:color="BFBFBF"/>
              <w:right w:val="single" w:sz="4" w:space="0" w:color="BFBFBF"/>
            </w:tcBorders>
            <w:shd w:val="clear" w:color="000000" w:fill="F2F2F2"/>
            <w:noWrap/>
            <w:vAlign w:val="center"/>
            <w:hideMark/>
          </w:tcPr>
          <w:p w14:paraId="63E6E5F6"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1" w:type="dxa"/>
            <w:tcBorders>
              <w:top w:val="nil"/>
              <w:left w:val="nil"/>
              <w:bottom w:val="single" w:sz="4" w:space="0" w:color="BFBFBF"/>
              <w:right w:val="single" w:sz="4" w:space="0" w:color="BFBFBF"/>
            </w:tcBorders>
            <w:shd w:val="clear" w:color="000000" w:fill="F2F2F2"/>
            <w:noWrap/>
            <w:vAlign w:val="center"/>
            <w:hideMark/>
          </w:tcPr>
          <w:p w14:paraId="2C10FC70"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48" w:type="dxa"/>
            <w:tcBorders>
              <w:top w:val="nil"/>
              <w:left w:val="nil"/>
              <w:bottom w:val="single" w:sz="4" w:space="0" w:color="BFBFBF"/>
              <w:right w:val="nil"/>
            </w:tcBorders>
            <w:shd w:val="clear" w:color="000000" w:fill="F2F2F2"/>
            <w:noWrap/>
            <w:vAlign w:val="center"/>
            <w:hideMark/>
          </w:tcPr>
          <w:p w14:paraId="22B12803"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r>
      <w:tr w:rsidR="000E61A5" w:rsidRPr="00215F99" w14:paraId="625B8B49" w14:textId="77777777" w:rsidTr="00717966">
        <w:trPr>
          <w:trHeight w:val="300"/>
        </w:trPr>
        <w:tc>
          <w:tcPr>
            <w:tcW w:w="851" w:type="dxa"/>
            <w:vMerge/>
            <w:tcBorders>
              <w:top w:val="nil"/>
              <w:left w:val="nil"/>
              <w:bottom w:val="single" w:sz="8" w:space="0" w:color="BFBFBF"/>
              <w:right w:val="single" w:sz="4" w:space="0" w:color="BFBFBF"/>
            </w:tcBorders>
            <w:vAlign w:val="center"/>
            <w:hideMark/>
          </w:tcPr>
          <w:p w14:paraId="4216C362" w14:textId="77777777" w:rsidR="000E61A5" w:rsidRPr="00215F99" w:rsidRDefault="000E61A5" w:rsidP="00717966">
            <w:pPr>
              <w:spacing w:after="0" w:line="240" w:lineRule="auto"/>
              <w:rPr>
                <w:rFonts w:eastAsia="Times New Roman" w:cstheme="minorHAnsi"/>
                <w:color w:val="455560"/>
                <w:sz w:val="17"/>
                <w:szCs w:val="17"/>
              </w:rPr>
            </w:pPr>
          </w:p>
        </w:tc>
        <w:tc>
          <w:tcPr>
            <w:tcW w:w="1559" w:type="dxa"/>
            <w:vMerge/>
            <w:tcBorders>
              <w:top w:val="single" w:sz="4" w:space="0" w:color="BFBFBF"/>
              <w:left w:val="single" w:sz="4" w:space="0" w:color="BFBFBF"/>
              <w:bottom w:val="single" w:sz="4" w:space="0" w:color="BFBFBF"/>
              <w:right w:val="single" w:sz="4" w:space="0" w:color="BFBFBF"/>
            </w:tcBorders>
            <w:vAlign w:val="center"/>
            <w:hideMark/>
          </w:tcPr>
          <w:p w14:paraId="7E525A98" w14:textId="77777777" w:rsidR="000E61A5" w:rsidRPr="00215F99" w:rsidRDefault="000E61A5" w:rsidP="00717966">
            <w:pPr>
              <w:spacing w:after="0" w:line="240" w:lineRule="auto"/>
              <w:rPr>
                <w:rFonts w:eastAsia="Times New Roman" w:cstheme="minorHAnsi"/>
                <w:b/>
                <w:bCs/>
                <w:color w:val="455560"/>
                <w:sz w:val="17"/>
                <w:szCs w:val="17"/>
              </w:rPr>
            </w:pPr>
          </w:p>
        </w:tc>
        <w:tc>
          <w:tcPr>
            <w:tcW w:w="3402" w:type="dxa"/>
            <w:tcBorders>
              <w:top w:val="nil"/>
              <w:left w:val="nil"/>
              <w:bottom w:val="single" w:sz="4" w:space="0" w:color="BFBFBF"/>
              <w:right w:val="single" w:sz="4" w:space="0" w:color="BFBFBF"/>
            </w:tcBorders>
            <w:shd w:val="clear" w:color="000000" w:fill="F2F2F2"/>
            <w:noWrap/>
            <w:vAlign w:val="center"/>
            <w:hideMark/>
          </w:tcPr>
          <w:p w14:paraId="386A7646" w14:textId="77777777" w:rsidR="000E61A5" w:rsidRPr="00215F99" w:rsidRDefault="000E61A5" w:rsidP="00717966">
            <w:pPr>
              <w:spacing w:after="0" w:line="240" w:lineRule="auto"/>
              <w:rPr>
                <w:rFonts w:eastAsia="Times New Roman" w:cstheme="minorHAnsi"/>
                <w:color w:val="455560"/>
                <w:sz w:val="17"/>
                <w:szCs w:val="17"/>
              </w:rPr>
            </w:pPr>
            <w:r w:rsidRPr="00215F99">
              <w:rPr>
                <w:rFonts w:eastAsia="Times New Roman" w:cstheme="minorHAnsi"/>
                <w:b/>
                <w:bCs/>
                <w:color w:val="455560"/>
                <w:sz w:val="17"/>
                <w:szCs w:val="17"/>
              </w:rPr>
              <w:t xml:space="preserve">A.1.3 </w:t>
            </w:r>
            <w:r w:rsidRPr="00215F99">
              <w:rPr>
                <w:rFonts w:eastAsia="Times New Roman" w:cstheme="minorHAnsi"/>
                <w:color w:val="455560"/>
                <w:sz w:val="17"/>
                <w:szCs w:val="17"/>
              </w:rPr>
              <w:t>Other adult learning opportunities</w:t>
            </w:r>
          </w:p>
        </w:tc>
        <w:tc>
          <w:tcPr>
            <w:tcW w:w="709" w:type="dxa"/>
            <w:tcBorders>
              <w:top w:val="nil"/>
              <w:left w:val="nil"/>
              <w:bottom w:val="single" w:sz="4" w:space="0" w:color="BFBFBF"/>
              <w:right w:val="single" w:sz="4" w:space="0" w:color="BFBFBF"/>
            </w:tcBorders>
            <w:shd w:val="clear" w:color="000000" w:fill="F2F2F2"/>
            <w:noWrap/>
            <w:vAlign w:val="center"/>
            <w:hideMark/>
          </w:tcPr>
          <w:p w14:paraId="67483B69"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0" w:type="dxa"/>
            <w:tcBorders>
              <w:top w:val="nil"/>
              <w:left w:val="nil"/>
              <w:bottom w:val="single" w:sz="4" w:space="0" w:color="BFBFBF"/>
              <w:right w:val="single" w:sz="4" w:space="0" w:color="BFBFBF"/>
            </w:tcBorders>
            <w:shd w:val="clear" w:color="000000" w:fill="F2F2F2"/>
            <w:noWrap/>
            <w:vAlign w:val="center"/>
            <w:hideMark/>
          </w:tcPr>
          <w:p w14:paraId="591C1F22"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1" w:type="dxa"/>
            <w:tcBorders>
              <w:top w:val="nil"/>
              <w:left w:val="nil"/>
              <w:bottom w:val="single" w:sz="4" w:space="0" w:color="BFBFBF"/>
              <w:right w:val="single" w:sz="4" w:space="0" w:color="BFBFBF"/>
            </w:tcBorders>
            <w:shd w:val="clear" w:color="000000" w:fill="F2F2F2"/>
            <w:noWrap/>
            <w:vAlign w:val="center"/>
            <w:hideMark/>
          </w:tcPr>
          <w:p w14:paraId="26E33C16"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48" w:type="dxa"/>
            <w:tcBorders>
              <w:top w:val="nil"/>
              <w:left w:val="nil"/>
              <w:bottom w:val="single" w:sz="4" w:space="0" w:color="BFBFBF"/>
              <w:right w:val="nil"/>
            </w:tcBorders>
            <w:shd w:val="clear" w:color="000000" w:fill="F2F2F2"/>
            <w:noWrap/>
            <w:vAlign w:val="center"/>
            <w:hideMark/>
          </w:tcPr>
          <w:p w14:paraId="7684DE92"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r>
      <w:tr w:rsidR="000E61A5" w:rsidRPr="00215F99" w14:paraId="6F2AB2D1" w14:textId="77777777" w:rsidTr="00717966">
        <w:trPr>
          <w:trHeight w:val="315"/>
        </w:trPr>
        <w:tc>
          <w:tcPr>
            <w:tcW w:w="851" w:type="dxa"/>
            <w:vMerge/>
            <w:tcBorders>
              <w:top w:val="nil"/>
              <w:left w:val="nil"/>
              <w:bottom w:val="single" w:sz="8" w:space="0" w:color="BFBFBF"/>
              <w:right w:val="single" w:sz="4" w:space="0" w:color="BFBFBF"/>
            </w:tcBorders>
            <w:vAlign w:val="center"/>
            <w:hideMark/>
          </w:tcPr>
          <w:p w14:paraId="6CFB6049" w14:textId="77777777" w:rsidR="000E61A5" w:rsidRPr="00215F99" w:rsidRDefault="000E61A5" w:rsidP="00717966">
            <w:pPr>
              <w:spacing w:after="0" w:line="240" w:lineRule="auto"/>
              <w:rPr>
                <w:rFonts w:eastAsia="Times New Roman" w:cstheme="minorHAnsi"/>
                <w:color w:val="455560"/>
                <w:sz w:val="17"/>
                <w:szCs w:val="17"/>
              </w:rPr>
            </w:pPr>
          </w:p>
        </w:tc>
        <w:tc>
          <w:tcPr>
            <w:tcW w:w="1559" w:type="dxa"/>
            <w:tcBorders>
              <w:top w:val="nil"/>
              <w:left w:val="nil"/>
              <w:bottom w:val="nil"/>
              <w:right w:val="single" w:sz="4" w:space="0" w:color="BFBFBF"/>
            </w:tcBorders>
            <w:shd w:val="clear" w:color="000000" w:fill="F2F2F2"/>
            <w:noWrap/>
            <w:vAlign w:val="center"/>
            <w:hideMark/>
          </w:tcPr>
          <w:p w14:paraId="02A9B886" w14:textId="77777777" w:rsidR="000E61A5" w:rsidRPr="00215F99" w:rsidRDefault="000E61A5" w:rsidP="00717966">
            <w:pPr>
              <w:spacing w:after="0" w:line="240" w:lineRule="auto"/>
              <w:rPr>
                <w:rFonts w:eastAsia="Times New Roman" w:cstheme="minorHAnsi"/>
                <w:b/>
                <w:bCs/>
                <w:color w:val="455560"/>
                <w:sz w:val="17"/>
                <w:szCs w:val="17"/>
              </w:rPr>
            </w:pPr>
            <w:r w:rsidRPr="00215F99">
              <w:rPr>
                <w:rFonts w:eastAsia="Times New Roman" w:cstheme="minorHAnsi"/>
                <w:b/>
                <w:bCs/>
                <w:color w:val="455560"/>
                <w:sz w:val="17"/>
                <w:szCs w:val="17"/>
              </w:rPr>
              <w:t xml:space="preserve">A.2 </w:t>
            </w:r>
            <w:r w:rsidRPr="00215F99">
              <w:rPr>
                <w:rFonts w:eastAsia="Times New Roman" w:cstheme="minorHAnsi"/>
                <w:color w:val="455560"/>
                <w:sz w:val="17"/>
                <w:szCs w:val="17"/>
              </w:rPr>
              <w:t>Participation</w:t>
            </w:r>
          </w:p>
        </w:tc>
        <w:tc>
          <w:tcPr>
            <w:tcW w:w="3402" w:type="dxa"/>
            <w:tcBorders>
              <w:top w:val="nil"/>
              <w:left w:val="nil"/>
              <w:bottom w:val="nil"/>
              <w:right w:val="single" w:sz="4" w:space="0" w:color="BFBFBF"/>
            </w:tcBorders>
            <w:shd w:val="clear" w:color="000000" w:fill="F2F2F2"/>
            <w:noWrap/>
            <w:vAlign w:val="center"/>
            <w:hideMark/>
          </w:tcPr>
          <w:p w14:paraId="4418A4A7" w14:textId="77777777" w:rsidR="000E61A5" w:rsidRPr="00215F99" w:rsidRDefault="000E61A5" w:rsidP="00717966">
            <w:pPr>
              <w:spacing w:after="0" w:line="240" w:lineRule="auto"/>
              <w:rPr>
                <w:rFonts w:eastAsia="Times New Roman" w:cstheme="minorHAnsi"/>
                <w:color w:val="455560"/>
                <w:sz w:val="17"/>
                <w:szCs w:val="17"/>
              </w:rPr>
            </w:pPr>
            <w:r w:rsidRPr="00215F99">
              <w:rPr>
                <w:rFonts w:eastAsia="Times New Roman" w:cstheme="minorHAnsi"/>
                <w:b/>
                <w:bCs/>
                <w:color w:val="455560"/>
                <w:sz w:val="17"/>
                <w:szCs w:val="17"/>
              </w:rPr>
              <w:t>A.2.3</w:t>
            </w:r>
            <w:r w:rsidRPr="00215F99">
              <w:rPr>
                <w:rFonts w:eastAsia="Times New Roman" w:cstheme="minorHAnsi"/>
                <w:color w:val="455560"/>
                <w:sz w:val="17"/>
                <w:szCs w:val="17"/>
              </w:rPr>
              <w:t xml:space="preserve"> Completion and graduation</w:t>
            </w:r>
          </w:p>
        </w:tc>
        <w:tc>
          <w:tcPr>
            <w:tcW w:w="709" w:type="dxa"/>
            <w:tcBorders>
              <w:top w:val="nil"/>
              <w:left w:val="nil"/>
              <w:bottom w:val="nil"/>
              <w:right w:val="single" w:sz="4" w:space="0" w:color="BFBFBF"/>
            </w:tcBorders>
            <w:shd w:val="clear" w:color="000000" w:fill="F2F2F2"/>
            <w:noWrap/>
            <w:vAlign w:val="center"/>
            <w:hideMark/>
          </w:tcPr>
          <w:p w14:paraId="00716873"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0" w:type="dxa"/>
            <w:tcBorders>
              <w:top w:val="nil"/>
              <w:left w:val="nil"/>
              <w:bottom w:val="single" w:sz="8" w:space="0" w:color="BFBFBF"/>
              <w:right w:val="single" w:sz="4" w:space="0" w:color="BFBFBF"/>
            </w:tcBorders>
            <w:shd w:val="clear" w:color="000000" w:fill="F2F2F2"/>
            <w:noWrap/>
            <w:vAlign w:val="center"/>
            <w:hideMark/>
          </w:tcPr>
          <w:p w14:paraId="19C0BCBA"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1" w:type="dxa"/>
            <w:tcBorders>
              <w:top w:val="nil"/>
              <w:left w:val="nil"/>
              <w:bottom w:val="nil"/>
              <w:right w:val="single" w:sz="4" w:space="0" w:color="BFBFBF"/>
            </w:tcBorders>
            <w:shd w:val="clear" w:color="000000" w:fill="F2F2F2"/>
            <w:noWrap/>
            <w:vAlign w:val="center"/>
            <w:hideMark/>
          </w:tcPr>
          <w:p w14:paraId="1214E0D9"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48" w:type="dxa"/>
            <w:tcBorders>
              <w:top w:val="nil"/>
              <w:left w:val="nil"/>
              <w:bottom w:val="single" w:sz="8" w:space="0" w:color="BFBFBF"/>
              <w:right w:val="nil"/>
            </w:tcBorders>
            <w:shd w:val="clear" w:color="000000" w:fill="F2F2F2"/>
            <w:noWrap/>
            <w:vAlign w:val="center"/>
            <w:hideMark/>
          </w:tcPr>
          <w:p w14:paraId="4602A96E" w14:textId="77777777" w:rsidR="000E61A5" w:rsidRPr="00215F99" w:rsidRDefault="000E61A5" w:rsidP="00717966">
            <w:pPr>
              <w:spacing w:after="0" w:line="240" w:lineRule="auto"/>
              <w:jc w:val="center"/>
              <w:rPr>
                <w:rFonts w:eastAsia="Times New Roman" w:cstheme="minorHAnsi"/>
                <w:b/>
                <w:bCs/>
                <w:color w:val="455560"/>
                <w:sz w:val="17"/>
                <w:szCs w:val="17"/>
              </w:rPr>
            </w:pPr>
          </w:p>
        </w:tc>
      </w:tr>
      <w:tr w:rsidR="000E61A5" w:rsidRPr="00215F99" w14:paraId="62D7F4A6" w14:textId="77777777" w:rsidTr="00717966">
        <w:trPr>
          <w:trHeight w:val="300"/>
        </w:trPr>
        <w:tc>
          <w:tcPr>
            <w:tcW w:w="851" w:type="dxa"/>
            <w:vMerge w:val="restart"/>
            <w:tcBorders>
              <w:top w:val="nil"/>
              <w:left w:val="nil"/>
              <w:bottom w:val="single" w:sz="8" w:space="0" w:color="BFBFBF"/>
              <w:right w:val="single" w:sz="4" w:space="0" w:color="BFBFBF"/>
            </w:tcBorders>
            <w:shd w:val="clear" w:color="000000" w:fill="F2F2F2"/>
            <w:vAlign w:val="center"/>
            <w:hideMark/>
          </w:tcPr>
          <w:p w14:paraId="541AF9F4"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b/>
                <w:bCs/>
                <w:color w:val="455560"/>
                <w:sz w:val="17"/>
                <w:szCs w:val="17"/>
              </w:rPr>
              <w:t xml:space="preserve">B. </w:t>
            </w:r>
            <w:r w:rsidRPr="00215F99">
              <w:rPr>
                <w:rFonts w:eastAsia="Times New Roman" w:cstheme="minorHAnsi"/>
                <w:color w:val="455560"/>
                <w:sz w:val="17"/>
                <w:szCs w:val="17"/>
              </w:rPr>
              <w:t>Quality</w:t>
            </w:r>
          </w:p>
        </w:tc>
        <w:tc>
          <w:tcPr>
            <w:tcW w:w="1559" w:type="dxa"/>
            <w:vMerge w:val="restart"/>
            <w:tcBorders>
              <w:top w:val="single" w:sz="8" w:space="0" w:color="BFBFBF"/>
              <w:left w:val="single" w:sz="4" w:space="0" w:color="BFBFBF"/>
              <w:bottom w:val="single" w:sz="4" w:space="0" w:color="BFBFBF"/>
              <w:right w:val="single" w:sz="4" w:space="0" w:color="BFBFBF"/>
            </w:tcBorders>
            <w:shd w:val="clear" w:color="000000" w:fill="F2F2F2"/>
            <w:noWrap/>
            <w:vAlign w:val="center"/>
            <w:hideMark/>
          </w:tcPr>
          <w:p w14:paraId="29F3F390" w14:textId="77777777" w:rsidR="000E61A5" w:rsidRPr="00215F99" w:rsidRDefault="000E61A5" w:rsidP="00717966">
            <w:pPr>
              <w:spacing w:after="0" w:line="240" w:lineRule="auto"/>
              <w:rPr>
                <w:rFonts w:eastAsia="Times New Roman" w:cstheme="minorHAnsi"/>
                <w:b/>
                <w:bCs/>
                <w:color w:val="455560"/>
                <w:sz w:val="17"/>
                <w:szCs w:val="17"/>
              </w:rPr>
            </w:pPr>
            <w:r w:rsidRPr="00215F99">
              <w:rPr>
                <w:rFonts w:eastAsia="Times New Roman" w:cstheme="minorHAnsi"/>
                <w:b/>
                <w:bCs/>
                <w:color w:val="455560"/>
                <w:sz w:val="17"/>
                <w:szCs w:val="17"/>
              </w:rPr>
              <w:t xml:space="preserve">B.1 </w:t>
            </w:r>
            <w:r w:rsidRPr="00215F99">
              <w:rPr>
                <w:rFonts w:eastAsia="Times New Roman" w:cstheme="minorHAnsi"/>
                <w:color w:val="455560"/>
                <w:sz w:val="17"/>
                <w:szCs w:val="17"/>
              </w:rPr>
              <w:t>Quality and relevance</w:t>
            </w:r>
          </w:p>
        </w:tc>
        <w:tc>
          <w:tcPr>
            <w:tcW w:w="3402" w:type="dxa"/>
            <w:tcBorders>
              <w:top w:val="single" w:sz="8" w:space="0" w:color="BFBFBF"/>
              <w:left w:val="nil"/>
              <w:bottom w:val="single" w:sz="4" w:space="0" w:color="BFBFBF"/>
              <w:right w:val="single" w:sz="4" w:space="0" w:color="BFBFBF"/>
            </w:tcBorders>
            <w:shd w:val="clear" w:color="000000" w:fill="F2F2F2"/>
            <w:noWrap/>
            <w:vAlign w:val="center"/>
            <w:hideMark/>
          </w:tcPr>
          <w:p w14:paraId="0ED3A0B3" w14:textId="77777777" w:rsidR="000E61A5" w:rsidRPr="00215F99" w:rsidRDefault="000E61A5" w:rsidP="00717966">
            <w:pPr>
              <w:spacing w:after="0" w:line="240" w:lineRule="auto"/>
              <w:rPr>
                <w:rFonts w:eastAsia="Times New Roman" w:cstheme="minorHAnsi"/>
                <w:color w:val="455560"/>
                <w:sz w:val="17"/>
                <w:szCs w:val="17"/>
              </w:rPr>
            </w:pPr>
            <w:r w:rsidRPr="00215F99">
              <w:rPr>
                <w:rFonts w:eastAsia="Times New Roman" w:cstheme="minorHAnsi"/>
                <w:b/>
                <w:bCs/>
                <w:color w:val="455560"/>
                <w:sz w:val="17"/>
                <w:szCs w:val="17"/>
              </w:rPr>
              <w:t>B.1.1</w:t>
            </w:r>
            <w:r w:rsidRPr="00215F99">
              <w:rPr>
                <w:rFonts w:eastAsia="Times New Roman" w:cstheme="minorHAnsi"/>
                <w:color w:val="455560"/>
                <w:sz w:val="17"/>
                <w:szCs w:val="17"/>
              </w:rPr>
              <w:t xml:space="preserve"> Quality of learning outcomes: youth</w:t>
            </w:r>
          </w:p>
        </w:tc>
        <w:tc>
          <w:tcPr>
            <w:tcW w:w="709" w:type="dxa"/>
            <w:tcBorders>
              <w:top w:val="single" w:sz="8" w:space="0" w:color="BFBFBF"/>
              <w:left w:val="nil"/>
              <w:bottom w:val="single" w:sz="4" w:space="0" w:color="BFBFBF"/>
              <w:right w:val="single" w:sz="4" w:space="0" w:color="BFBFBF"/>
            </w:tcBorders>
            <w:shd w:val="clear" w:color="000000" w:fill="F2F2F2"/>
            <w:noWrap/>
            <w:vAlign w:val="center"/>
            <w:hideMark/>
          </w:tcPr>
          <w:p w14:paraId="67C8AE25"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0" w:type="dxa"/>
            <w:tcBorders>
              <w:top w:val="nil"/>
              <w:left w:val="nil"/>
              <w:bottom w:val="single" w:sz="4" w:space="0" w:color="BFBFBF"/>
              <w:right w:val="single" w:sz="4" w:space="0" w:color="BFBFBF"/>
            </w:tcBorders>
            <w:shd w:val="clear" w:color="000000" w:fill="F2F2F2"/>
            <w:noWrap/>
            <w:vAlign w:val="center"/>
            <w:hideMark/>
          </w:tcPr>
          <w:p w14:paraId="18CDA759"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1" w:type="dxa"/>
            <w:tcBorders>
              <w:top w:val="single" w:sz="8" w:space="0" w:color="BFBFBF"/>
              <w:left w:val="nil"/>
              <w:bottom w:val="single" w:sz="4" w:space="0" w:color="BFBFBF"/>
              <w:right w:val="single" w:sz="4" w:space="0" w:color="BFBFBF"/>
            </w:tcBorders>
            <w:shd w:val="clear" w:color="000000" w:fill="F2F2F2"/>
            <w:noWrap/>
            <w:vAlign w:val="center"/>
            <w:hideMark/>
          </w:tcPr>
          <w:p w14:paraId="2499B602"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48" w:type="dxa"/>
            <w:tcBorders>
              <w:top w:val="nil"/>
              <w:left w:val="nil"/>
              <w:bottom w:val="single" w:sz="4" w:space="0" w:color="BFBFBF"/>
              <w:right w:val="nil"/>
            </w:tcBorders>
            <w:shd w:val="clear" w:color="000000" w:fill="F2F2F2"/>
            <w:noWrap/>
            <w:vAlign w:val="center"/>
            <w:hideMark/>
          </w:tcPr>
          <w:p w14:paraId="37E838CD" w14:textId="77777777" w:rsidR="000E61A5" w:rsidRPr="00215F99" w:rsidRDefault="000E61A5" w:rsidP="00717966">
            <w:pPr>
              <w:spacing w:after="0" w:line="240" w:lineRule="auto"/>
              <w:jc w:val="center"/>
              <w:rPr>
                <w:rFonts w:eastAsia="Times New Roman" w:cstheme="minorHAnsi"/>
                <w:b/>
                <w:bCs/>
                <w:color w:val="455560"/>
                <w:sz w:val="17"/>
                <w:szCs w:val="17"/>
              </w:rPr>
            </w:pPr>
          </w:p>
        </w:tc>
      </w:tr>
      <w:tr w:rsidR="000E61A5" w:rsidRPr="00215F99" w14:paraId="0D6C80D7" w14:textId="77777777" w:rsidTr="00717966">
        <w:trPr>
          <w:trHeight w:val="300"/>
        </w:trPr>
        <w:tc>
          <w:tcPr>
            <w:tcW w:w="851" w:type="dxa"/>
            <w:vMerge/>
            <w:tcBorders>
              <w:top w:val="nil"/>
              <w:left w:val="nil"/>
              <w:bottom w:val="single" w:sz="8" w:space="0" w:color="BFBFBF"/>
              <w:right w:val="single" w:sz="4" w:space="0" w:color="BFBFBF"/>
            </w:tcBorders>
            <w:vAlign w:val="center"/>
            <w:hideMark/>
          </w:tcPr>
          <w:p w14:paraId="11D17EE4" w14:textId="77777777" w:rsidR="000E61A5" w:rsidRPr="00215F99" w:rsidRDefault="000E61A5" w:rsidP="00717966">
            <w:pPr>
              <w:spacing w:after="0" w:line="240" w:lineRule="auto"/>
              <w:rPr>
                <w:rFonts w:eastAsia="Times New Roman" w:cstheme="minorHAnsi"/>
                <w:color w:val="455560"/>
                <w:sz w:val="17"/>
                <w:szCs w:val="17"/>
              </w:rPr>
            </w:pPr>
          </w:p>
        </w:tc>
        <w:tc>
          <w:tcPr>
            <w:tcW w:w="1559" w:type="dxa"/>
            <w:vMerge/>
            <w:tcBorders>
              <w:top w:val="single" w:sz="8" w:space="0" w:color="BFBFBF"/>
              <w:left w:val="single" w:sz="4" w:space="0" w:color="BFBFBF"/>
              <w:bottom w:val="single" w:sz="4" w:space="0" w:color="BFBFBF"/>
              <w:right w:val="single" w:sz="4" w:space="0" w:color="BFBFBF"/>
            </w:tcBorders>
            <w:vAlign w:val="center"/>
            <w:hideMark/>
          </w:tcPr>
          <w:p w14:paraId="2CFDAA99" w14:textId="77777777" w:rsidR="000E61A5" w:rsidRPr="00215F99" w:rsidRDefault="000E61A5" w:rsidP="00717966">
            <w:pPr>
              <w:spacing w:after="0" w:line="240" w:lineRule="auto"/>
              <w:rPr>
                <w:rFonts w:eastAsia="Times New Roman" w:cstheme="minorHAnsi"/>
                <w:b/>
                <w:bCs/>
                <w:color w:val="455560"/>
                <w:sz w:val="17"/>
                <w:szCs w:val="17"/>
              </w:rPr>
            </w:pPr>
          </w:p>
        </w:tc>
        <w:tc>
          <w:tcPr>
            <w:tcW w:w="3402" w:type="dxa"/>
            <w:tcBorders>
              <w:top w:val="nil"/>
              <w:left w:val="nil"/>
              <w:bottom w:val="single" w:sz="4" w:space="0" w:color="BFBFBF"/>
              <w:right w:val="single" w:sz="4" w:space="0" w:color="BFBFBF"/>
            </w:tcBorders>
            <w:shd w:val="clear" w:color="000000" w:fill="F2F2F2"/>
            <w:noWrap/>
            <w:vAlign w:val="center"/>
            <w:hideMark/>
          </w:tcPr>
          <w:p w14:paraId="1A868B26" w14:textId="77777777" w:rsidR="000E61A5" w:rsidRPr="00215F99" w:rsidRDefault="000E61A5" w:rsidP="00717966">
            <w:pPr>
              <w:spacing w:after="0" w:line="240" w:lineRule="auto"/>
              <w:rPr>
                <w:rFonts w:eastAsia="Times New Roman" w:cstheme="minorHAnsi"/>
                <w:color w:val="455560"/>
                <w:sz w:val="17"/>
                <w:szCs w:val="17"/>
              </w:rPr>
            </w:pPr>
            <w:r w:rsidRPr="00215F99">
              <w:rPr>
                <w:rFonts w:eastAsia="Times New Roman" w:cstheme="minorHAnsi"/>
                <w:b/>
                <w:bCs/>
                <w:color w:val="455560"/>
                <w:sz w:val="17"/>
                <w:szCs w:val="17"/>
              </w:rPr>
              <w:t>B.1.2</w:t>
            </w:r>
            <w:r w:rsidRPr="00215F99">
              <w:rPr>
                <w:rFonts w:eastAsia="Times New Roman" w:cstheme="minorHAnsi"/>
                <w:color w:val="455560"/>
                <w:sz w:val="17"/>
                <w:szCs w:val="17"/>
              </w:rPr>
              <w:t xml:space="preserve"> Skills and competences: adults</w:t>
            </w:r>
          </w:p>
        </w:tc>
        <w:tc>
          <w:tcPr>
            <w:tcW w:w="709" w:type="dxa"/>
            <w:tcBorders>
              <w:top w:val="nil"/>
              <w:left w:val="nil"/>
              <w:bottom w:val="single" w:sz="4" w:space="0" w:color="BFBFBF"/>
              <w:right w:val="single" w:sz="4" w:space="0" w:color="BFBFBF"/>
            </w:tcBorders>
            <w:shd w:val="clear" w:color="000000" w:fill="F2F2F2"/>
            <w:noWrap/>
            <w:vAlign w:val="center"/>
            <w:hideMark/>
          </w:tcPr>
          <w:p w14:paraId="3694E2EF"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0" w:type="dxa"/>
            <w:tcBorders>
              <w:top w:val="nil"/>
              <w:left w:val="nil"/>
              <w:bottom w:val="single" w:sz="4" w:space="0" w:color="BFBFBF"/>
              <w:right w:val="single" w:sz="4" w:space="0" w:color="BFBFBF"/>
            </w:tcBorders>
            <w:shd w:val="clear" w:color="000000" w:fill="F2F2F2"/>
            <w:noWrap/>
            <w:vAlign w:val="center"/>
            <w:hideMark/>
          </w:tcPr>
          <w:p w14:paraId="08D2B229"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1" w:type="dxa"/>
            <w:tcBorders>
              <w:top w:val="nil"/>
              <w:left w:val="nil"/>
              <w:bottom w:val="single" w:sz="4" w:space="0" w:color="BFBFBF"/>
              <w:right w:val="single" w:sz="4" w:space="0" w:color="BFBFBF"/>
            </w:tcBorders>
            <w:shd w:val="clear" w:color="000000" w:fill="F2F2F2"/>
            <w:noWrap/>
            <w:vAlign w:val="center"/>
            <w:hideMark/>
          </w:tcPr>
          <w:p w14:paraId="16097F60"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48" w:type="dxa"/>
            <w:tcBorders>
              <w:top w:val="nil"/>
              <w:left w:val="nil"/>
              <w:bottom w:val="single" w:sz="4" w:space="0" w:color="BFBFBF"/>
              <w:right w:val="nil"/>
            </w:tcBorders>
            <w:shd w:val="clear" w:color="000000" w:fill="F2F2F2"/>
            <w:noWrap/>
            <w:vAlign w:val="center"/>
            <w:hideMark/>
          </w:tcPr>
          <w:p w14:paraId="05684D5C"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r>
      <w:tr w:rsidR="000E61A5" w:rsidRPr="00215F99" w14:paraId="1EAC088F" w14:textId="77777777" w:rsidTr="00717966">
        <w:trPr>
          <w:trHeight w:val="300"/>
        </w:trPr>
        <w:tc>
          <w:tcPr>
            <w:tcW w:w="851" w:type="dxa"/>
            <w:vMerge/>
            <w:tcBorders>
              <w:top w:val="nil"/>
              <w:left w:val="nil"/>
              <w:bottom w:val="single" w:sz="8" w:space="0" w:color="BFBFBF"/>
              <w:right w:val="single" w:sz="4" w:space="0" w:color="BFBFBF"/>
            </w:tcBorders>
            <w:vAlign w:val="center"/>
            <w:hideMark/>
          </w:tcPr>
          <w:p w14:paraId="16977759" w14:textId="77777777" w:rsidR="000E61A5" w:rsidRPr="00215F99" w:rsidRDefault="000E61A5" w:rsidP="00717966">
            <w:pPr>
              <w:spacing w:after="0" w:line="240" w:lineRule="auto"/>
              <w:rPr>
                <w:rFonts w:eastAsia="Times New Roman" w:cstheme="minorHAnsi"/>
                <w:color w:val="455560"/>
                <w:sz w:val="17"/>
                <w:szCs w:val="17"/>
              </w:rPr>
            </w:pPr>
          </w:p>
        </w:tc>
        <w:tc>
          <w:tcPr>
            <w:tcW w:w="1559" w:type="dxa"/>
            <w:vMerge/>
            <w:tcBorders>
              <w:top w:val="single" w:sz="8" w:space="0" w:color="BFBFBF"/>
              <w:left w:val="single" w:sz="4" w:space="0" w:color="BFBFBF"/>
              <w:bottom w:val="single" w:sz="4" w:space="0" w:color="BFBFBF"/>
              <w:right w:val="single" w:sz="4" w:space="0" w:color="BFBFBF"/>
            </w:tcBorders>
            <w:vAlign w:val="center"/>
            <w:hideMark/>
          </w:tcPr>
          <w:p w14:paraId="4BCA507F" w14:textId="77777777" w:rsidR="000E61A5" w:rsidRPr="00215F99" w:rsidRDefault="000E61A5" w:rsidP="00717966">
            <w:pPr>
              <w:spacing w:after="0" w:line="240" w:lineRule="auto"/>
              <w:rPr>
                <w:rFonts w:eastAsia="Times New Roman" w:cstheme="minorHAnsi"/>
                <w:b/>
                <w:bCs/>
                <w:color w:val="455560"/>
                <w:sz w:val="17"/>
                <w:szCs w:val="17"/>
              </w:rPr>
            </w:pPr>
          </w:p>
        </w:tc>
        <w:tc>
          <w:tcPr>
            <w:tcW w:w="3402" w:type="dxa"/>
            <w:tcBorders>
              <w:top w:val="nil"/>
              <w:left w:val="nil"/>
              <w:bottom w:val="single" w:sz="4" w:space="0" w:color="BFBFBF"/>
              <w:right w:val="single" w:sz="4" w:space="0" w:color="BFBFBF"/>
            </w:tcBorders>
            <w:shd w:val="clear" w:color="000000" w:fill="F2F2F2"/>
            <w:noWrap/>
            <w:vAlign w:val="center"/>
            <w:hideMark/>
          </w:tcPr>
          <w:p w14:paraId="2B7EF6B3" w14:textId="77777777" w:rsidR="000E61A5" w:rsidRPr="00215F99" w:rsidRDefault="000E61A5" w:rsidP="00717966">
            <w:pPr>
              <w:spacing w:after="0" w:line="240" w:lineRule="auto"/>
              <w:rPr>
                <w:rFonts w:eastAsia="Times New Roman" w:cstheme="minorHAnsi"/>
                <w:color w:val="455560"/>
                <w:sz w:val="17"/>
                <w:szCs w:val="17"/>
              </w:rPr>
            </w:pPr>
            <w:r w:rsidRPr="00215F99">
              <w:rPr>
                <w:rFonts w:eastAsia="Times New Roman" w:cstheme="minorHAnsi"/>
                <w:b/>
                <w:bCs/>
                <w:color w:val="455560"/>
                <w:sz w:val="17"/>
                <w:szCs w:val="17"/>
              </w:rPr>
              <w:t>B.1.3</w:t>
            </w:r>
            <w:r w:rsidRPr="00215F99">
              <w:rPr>
                <w:rFonts w:eastAsia="Times New Roman" w:cstheme="minorHAnsi"/>
                <w:color w:val="455560"/>
                <w:sz w:val="17"/>
                <w:szCs w:val="17"/>
              </w:rPr>
              <w:t xml:space="preserve"> Work-based learning</w:t>
            </w:r>
          </w:p>
        </w:tc>
        <w:tc>
          <w:tcPr>
            <w:tcW w:w="709" w:type="dxa"/>
            <w:tcBorders>
              <w:top w:val="nil"/>
              <w:left w:val="nil"/>
              <w:bottom w:val="single" w:sz="4" w:space="0" w:color="BFBFBF"/>
              <w:right w:val="single" w:sz="4" w:space="0" w:color="BFBFBF"/>
            </w:tcBorders>
            <w:shd w:val="clear" w:color="000000" w:fill="F2F2F2"/>
            <w:noWrap/>
            <w:vAlign w:val="center"/>
            <w:hideMark/>
          </w:tcPr>
          <w:p w14:paraId="40CAED58"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0" w:type="dxa"/>
            <w:tcBorders>
              <w:top w:val="nil"/>
              <w:left w:val="nil"/>
              <w:bottom w:val="single" w:sz="4" w:space="0" w:color="BFBFBF"/>
              <w:right w:val="single" w:sz="4" w:space="0" w:color="BFBFBF"/>
            </w:tcBorders>
            <w:shd w:val="clear" w:color="000000" w:fill="F2F2F2"/>
            <w:noWrap/>
            <w:vAlign w:val="center"/>
            <w:hideMark/>
          </w:tcPr>
          <w:p w14:paraId="44002B46"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51" w:type="dxa"/>
            <w:tcBorders>
              <w:top w:val="nil"/>
              <w:left w:val="nil"/>
              <w:bottom w:val="single" w:sz="4" w:space="0" w:color="BFBFBF"/>
              <w:right w:val="single" w:sz="4" w:space="0" w:color="BFBFBF"/>
            </w:tcBorders>
            <w:shd w:val="clear" w:color="000000" w:fill="F2F2F2"/>
            <w:noWrap/>
            <w:vAlign w:val="center"/>
            <w:hideMark/>
          </w:tcPr>
          <w:p w14:paraId="55890242"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48" w:type="dxa"/>
            <w:tcBorders>
              <w:top w:val="nil"/>
              <w:left w:val="nil"/>
              <w:bottom w:val="single" w:sz="4" w:space="0" w:color="BFBFBF"/>
              <w:right w:val="nil"/>
            </w:tcBorders>
            <w:shd w:val="clear" w:color="000000" w:fill="F2F2F2"/>
            <w:noWrap/>
            <w:vAlign w:val="center"/>
            <w:hideMark/>
          </w:tcPr>
          <w:p w14:paraId="0428720D" w14:textId="77777777" w:rsidR="000E61A5" w:rsidRPr="00215F99" w:rsidRDefault="000E61A5" w:rsidP="00717966">
            <w:pPr>
              <w:spacing w:after="0" w:line="240" w:lineRule="auto"/>
              <w:jc w:val="center"/>
              <w:rPr>
                <w:rFonts w:eastAsia="Times New Roman" w:cstheme="minorHAnsi"/>
                <w:b/>
                <w:bCs/>
                <w:color w:val="455560"/>
                <w:sz w:val="17"/>
                <w:szCs w:val="17"/>
              </w:rPr>
            </w:pPr>
          </w:p>
        </w:tc>
      </w:tr>
      <w:tr w:rsidR="000E61A5" w:rsidRPr="00215F99" w14:paraId="7FA36D44" w14:textId="77777777" w:rsidTr="00717966">
        <w:trPr>
          <w:trHeight w:val="300"/>
        </w:trPr>
        <w:tc>
          <w:tcPr>
            <w:tcW w:w="851" w:type="dxa"/>
            <w:vMerge/>
            <w:tcBorders>
              <w:top w:val="nil"/>
              <w:left w:val="nil"/>
              <w:bottom w:val="single" w:sz="8" w:space="0" w:color="BFBFBF"/>
              <w:right w:val="single" w:sz="4" w:space="0" w:color="BFBFBF"/>
            </w:tcBorders>
            <w:vAlign w:val="center"/>
            <w:hideMark/>
          </w:tcPr>
          <w:p w14:paraId="48D11364" w14:textId="77777777" w:rsidR="000E61A5" w:rsidRPr="00215F99" w:rsidRDefault="000E61A5" w:rsidP="00717966">
            <w:pPr>
              <w:spacing w:after="0" w:line="240" w:lineRule="auto"/>
              <w:rPr>
                <w:rFonts w:eastAsia="Times New Roman" w:cstheme="minorHAnsi"/>
                <w:color w:val="455560"/>
                <w:sz w:val="17"/>
                <w:szCs w:val="17"/>
              </w:rPr>
            </w:pPr>
          </w:p>
        </w:tc>
        <w:tc>
          <w:tcPr>
            <w:tcW w:w="1559" w:type="dxa"/>
            <w:vMerge/>
            <w:tcBorders>
              <w:top w:val="single" w:sz="8" w:space="0" w:color="BFBFBF"/>
              <w:left w:val="single" w:sz="4" w:space="0" w:color="BFBFBF"/>
              <w:bottom w:val="single" w:sz="4" w:space="0" w:color="BFBFBF"/>
              <w:right w:val="single" w:sz="4" w:space="0" w:color="BFBFBF"/>
            </w:tcBorders>
            <w:vAlign w:val="center"/>
            <w:hideMark/>
          </w:tcPr>
          <w:p w14:paraId="17E1BB12" w14:textId="77777777" w:rsidR="000E61A5" w:rsidRPr="00215F99" w:rsidRDefault="000E61A5" w:rsidP="00717966">
            <w:pPr>
              <w:spacing w:after="0" w:line="240" w:lineRule="auto"/>
              <w:rPr>
                <w:rFonts w:eastAsia="Times New Roman" w:cstheme="minorHAnsi"/>
                <w:b/>
                <w:bCs/>
                <w:color w:val="455560"/>
                <w:sz w:val="17"/>
                <w:szCs w:val="17"/>
              </w:rPr>
            </w:pPr>
          </w:p>
        </w:tc>
        <w:tc>
          <w:tcPr>
            <w:tcW w:w="3402" w:type="dxa"/>
            <w:tcBorders>
              <w:top w:val="nil"/>
              <w:left w:val="nil"/>
              <w:bottom w:val="single" w:sz="4" w:space="0" w:color="BFBFBF"/>
              <w:right w:val="single" w:sz="4" w:space="0" w:color="BFBFBF"/>
            </w:tcBorders>
            <w:shd w:val="clear" w:color="000000" w:fill="F2F2F2"/>
            <w:noWrap/>
            <w:vAlign w:val="center"/>
            <w:hideMark/>
          </w:tcPr>
          <w:p w14:paraId="49D26FEA" w14:textId="77777777" w:rsidR="000E61A5" w:rsidRPr="00215F99" w:rsidRDefault="000E61A5" w:rsidP="00717966">
            <w:pPr>
              <w:spacing w:after="0" w:line="240" w:lineRule="auto"/>
              <w:rPr>
                <w:rFonts w:eastAsia="Times New Roman" w:cstheme="minorHAnsi"/>
                <w:color w:val="455560"/>
                <w:sz w:val="17"/>
                <w:szCs w:val="17"/>
              </w:rPr>
            </w:pPr>
            <w:r w:rsidRPr="00215F99">
              <w:rPr>
                <w:rFonts w:eastAsia="Times New Roman" w:cstheme="minorHAnsi"/>
                <w:b/>
                <w:bCs/>
                <w:color w:val="455560"/>
                <w:sz w:val="17"/>
                <w:szCs w:val="17"/>
              </w:rPr>
              <w:t xml:space="preserve">B.1.4 </w:t>
            </w:r>
            <w:r w:rsidRPr="00215F99">
              <w:rPr>
                <w:rFonts w:eastAsia="Times New Roman" w:cstheme="minorHAnsi"/>
                <w:color w:val="455560"/>
                <w:sz w:val="17"/>
                <w:szCs w:val="17"/>
              </w:rPr>
              <w:t>Employability of learners</w:t>
            </w:r>
          </w:p>
        </w:tc>
        <w:tc>
          <w:tcPr>
            <w:tcW w:w="709" w:type="dxa"/>
            <w:tcBorders>
              <w:top w:val="nil"/>
              <w:left w:val="nil"/>
              <w:bottom w:val="single" w:sz="4" w:space="0" w:color="BFBFBF"/>
              <w:right w:val="single" w:sz="4" w:space="0" w:color="BFBFBF"/>
            </w:tcBorders>
            <w:shd w:val="clear" w:color="000000" w:fill="F2F2F2"/>
            <w:noWrap/>
            <w:vAlign w:val="center"/>
            <w:hideMark/>
          </w:tcPr>
          <w:p w14:paraId="291C3DB3"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0" w:type="dxa"/>
            <w:tcBorders>
              <w:top w:val="nil"/>
              <w:left w:val="nil"/>
              <w:bottom w:val="single" w:sz="4" w:space="0" w:color="BFBFBF"/>
              <w:right w:val="single" w:sz="4" w:space="0" w:color="BFBFBF"/>
            </w:tcBorders>
            <w:shd w:val="clear" w:color="000000" w:fill="F2F2F2"/>
            <w:noWrap/>
            <w:vAlign w:val="center"/>
            <w:hideMark/>
          </w:tcPr>
          <w:p w14:paraId="3B77BFC3"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1" w:type="dxa"/>
            <w:tcBorders>
              <w:top w:val="nil"/>
              <w:left w:val="nil"/>
              <w:bottom w:val="single" w:sz="4" w:space="0" w:color="BFBFBF"/>
              <w:right w:val="single" w:sz="4" w:space="0" w:color="BFBFBF"/>
            </w:tcBorders>
            <w:shd w:val="clear" w:color="000000" w:fill="F2F2F2"/>
            <w:noWrap/>
            <w:vAlign w:val="center"/>
            <w:hideMark/>
          </w:tcPr>
          <w:p w14:paraId="7C047D78"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48" w:type="dxa"/>
            <w:tcBorders>
              <w:top w:val="nil"/>
              <w:left w:val="nil"/>
              <w:bottom w:val="single" w:sz="4" w:space="0" w:color="BFBFBF"/>
              <w:right w:val="nil"/>
            </w:tcBorders>
            <w:shd w:val="clear" w:color="000000" w:fill="F2F2F2"/>
            <w:noWrap/>
            <w:vAlign w:val="center"/>
            <w:hideMark/>
          </w:tcPr>
          <w:p w14:paraId="534E586F" w14:textId="77777777" w:rsidR="000E61A5" w:rsidRPr="00215F99" w:rsidRDefault="000E61A5" w:rsidP="00717966">
            <w:pPr>
              <w:spacing w:after="0" w:line="240" w:lineRule="auto"/>
              <w:jc w:val="center"/>
              <w:rPr>
                <w:rFonts w:eastAsia="Times New Roman" w:cstheme="minorHAnsi"/>
                <w:b/>
                <w:bCs/>
                <w:color w:val="455560"/>
                <w:sz w:val="17"/>
                <w:szCs w:val="17"/>
              </w:rPr>
            </w:pPr>
          </w:p>
        </w:tc>
      </w:tr>
      <w:tr w:rsidR="000E61A5" w:rsidRPr="00215F99" w14:paraId="4B3B2DBF" w14:textId="77777777" w:rsidTr="00717966">
        <w:trPr>
          <w:trHeight w:val="300"/>
        </w:trPr>
        <w:tc>
          <w:tcPr>
            <w:tcW w:w="851" w:type="dxa"/>
            <w:vMerge/>
            <w:tcBorders>
              <w:top w:val="nil"/>
              <w:left w:val="nil"/>
              <w:bottom w:val="single" w:sz="8" w:space="0" w:color="BFBFBF"/>
              <w:right w:val="single" w:sz="4" w:space="0" w:color="BFBFBF"/>
            </w:tcBorders>
            <w:vAlign w:val="center"/>
            <w:hideMark/>
          </w:tcPr>
          <w:p w14:paraId="3BA3CCD4" w14:textId="77777777" w:rsidR="000E61A5" w:rsidRPr="00215F99" w:rsidRDefault="000E61A5" w:rsidP="00717966">
            <w:pPr>
              <w:spacing w:after="0" w:line="240" w:lineRule="auto"/>
              <w:rPr>
                <w:rFonts w:eastAsia="Times New Roman" w:cstheme="minorHAnsi"/>
                <w:color w:val="455560"/>
                <w:sz w:val="17"/>
                <w:szCs w:val="17"/>
              </w:rPr>
            </w:pPr>
          </w:p>
        </w:tc>
        <w:tc>
          <w:tcPr>
            <w:tcW w:w="1559" w:type="dxa"/>
            <w:vMerge/>
            <w:tcBorders>
              <w:top w:val="single" w:sz="8" w:space="0" w:color="BFBFBF"/>
              <w:left w:val="single" w:sz="4" w:space="0" w:color="BFBFBF"/>
              <w:bottom w:val="single" w:sz="4" w:space="0" w:color="BFBFBF"/>
              <w:right w:val="single" w:sz="4" w:space="0" w:color="BFBFBF"/>
            </w:tcBorders>
            <w:vAlign w:val="center"/>
            <w:hideMark/>
          </w:tcPr>
          <w:p w14:paraId="15F5B610" w14:textId="77777777" w:rsidR="000E61A5" w:rsidRPr="00215F99" w:rsidRDefault="000E61A5" w:rsidP="00717966">
            <w:pPr>
              <w:spacing w:after="0" w:line="240" w:lineRule="auto"/>
              <w:rPr>
                <w:rFonts w:eastAsia="Times New Roman" w:cstheme="minorHAnsi"/>
                <w:b/>
                <w:bCs/>
                <w:color w:val="455560"/>
                <w:sz w:val="17"/>
                <w:szCs w:val="17"/>
              </w:rPr>
            </w:pPr>
          </w:p>
        </w:tc>
        <w:tc>
          <w:tcPr>
            <w:tcW w:w="3402" w:type="dxa"/>
            <w:tcBorders>
              <w:top w:val="nil"/>
              <w:left w:val="nil"/>
              <w:bottom w:val="single" w:sz="4" w:space="0" w:color="BFBFBF"/>
              <w:right w:val="single" w:sz="4" w:space="0" w:color="BFBFBF"/>
            </w:tcBorders>
            <w:shd w:val="clear" w:color="000000" w:fill="F2F2F2"/>
            <w:noWrap/>
            <w:vAlign w:val="center"/>
            <w:hideMark/>
          </w:tcPr>
          <w:p w14:paraId="0E563D83" w14:textId="77777777" w:rsidR="000E61A5" w:rsidRPr="00215F99" w:rsidRDefault="000E61A5" w:rsidP="00717966">
            <w:pPr>
              <w:spacing w:after="0" w:line="240" w:lineRule="auto"/>
              <w:rPr>
                <w:rFonts w:eastAsia="Times New Roman" w:cstheme="minorHAnsi"/>
                <w:color w:val="455560"/>
                <w:sz w:val="17"/>
                <w:szCs w:val="17"/>
              </w:rPr>
            </w:pPr>
            <w:r w:rsidRPr="00215F99">
              <w:rPr>
                <w:rFonts w:eastAsia="Times New Roman" w:cstheme="minorHAnsi"/>
                <w:b/>
                <w:bCs/>
                <w:color w:val="455560"/>
                <w:sz w:val="17"/>
                <w:szCs w:val="17"/>
              </w:rPr>
              <w:t>B.1.5</w:t>
            </w:r>
            <w:r w:rsidRPr="00215F99">
              <w:rPr>
                <w:rFonts w:eastAsia="Times New Roman" w:cstheme="minorHAnsi"/>
                <w:color w:val="455560"/>
                <w:sz w:val="17"/>
                <w:szCs w:val="17"/>
              </w:rPr>
              <w:t xml:space="preserve"> Career guidance</w:t>
            </w:r>
          </w:p>
        </w:tc>
        <w:tc>
          <w:tcPr>
            <w:tcW w:w="709" w:type="dxa"/>
            <w:tcBorders>
              <w:top w:val="nil"/>
              <w:left w:val="nil"/>
              <w:bottom w:val="single" w:sz="4" w:space="0" w:color="BFBFBF"/>
              <w:right w:val="single" w:sz="4" w:space="0" w:color="BFBFBF"/>
            </w:tcBorders>
            <w:shd w:val="clear" w:color="000000" w:fill="F2F2F2"/>
            <w:noWrap/>
            <w:vAlign w:val="center"/>
            <w:hideMark/>
          </w:tcPr>
          <w:p w14:paraId="1D8278D3"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0" w:type="dxa"/>
            <w:tcBorders>
              <w:top w:val="nil"/>
              <w:left w:val="nil"/>
              <w:bottom w:val="single" w:sz="4" w:space="0" w:color="BFBFBF"/>
              <w:right w:val="single" w:sz="4" w:space="0" w:color="BFBFBF"/>
            </w:tcBorders>
            <w:shd w:val="clear" w:color="000000" w:fill="F2F2F2"/>
            <w:noWrap/>
            <w:vAlign w:val="center"/>
            <w:hideMark/>
          </w:tcPr>
          <w:p w14:paraId="3161ECE7"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51" w:type="dxa"/>
            <w:tcBorders>
              <w:top w:val="nil"/>
              <w:left w:val="nil"/>
              <w:bottom w:val="single" w:sz="4" w:space="0" w:color="BFBFBF"/>
              <w:right w:val="single" w:sz="4" w:space="0" w:color="BFBFBF"/>
            </w:tcBorders>
            <w:shd w:val="clear" w:color="000000" w:fill="F2F2F2"/>
            <w:noWrap/>
            <w:vAlign w:val="center"/>
            <w:hideMark/>
          </w:tcPr>
          <w:p w14:paraId="14CA20E1"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48" w:type="dxa"/>
            <w:tcBorders>
              <w:top w:val="nil"/>
              <w:left w:val="nil"/>
              <w:bottom w:val="single" w:sz="4" w:space="0" w:color="BFBFBF"/>
              <w:right w:val="nil"/>
            </w:tcBorders>
            <w:shd w:val="clear" w:color="000000" w:fill="F2F2F2"/>
            <w:noWrap/>
            <w:vAlign w:val="center"/>
            <w:hideMark/>
          </w:tcPr>
          <w:p w14:paraId="295C0BBD" w14:textId="77777777" w:rsidR="000E61A5" w:rsidRPr="00215F99" w:rsidRDefault="000E61A5" w:rsidP="00717966">
            <w:pPr>
              <w:spacing w:after="0" w:line="240" w:lineRule="auto"/>
              <w:jc w:val="center"/>
              <w:rPr>
                <w:rFonts w:eastAsia="Times New Roman" w:cstheme="minorHAnsi"/>
                <w:b/>
                <w:bCs/>
                <w:color w:val="455560"/>
                <w:sz w:val="17"/>
                <w:szCs w:val="17"/>
              </w:rPr>
            </w:pPr>
          </w:p>
        </w:tc>
      </w:tr>
      <w:tr w:rsidR="000E61A5" w:rsidRPr="00215F99" w14:paraId="4EE50E40" w14:textId="77777777" w:rsidTr="00717966">
        <w:trPr>
          <w:trHeight w:val="300"/>
        </w:trPr>
        <w:tc>
          <w:tcPr>
            <w:tcW w:w="851" w:type="dxa"/>
            <w:vMerge/>
            <w:tcBorders>
              <w:top w:val="nil"/>
              <w:left w:val="nil"/>
              <w:bottom w:val="single" w:sz="8" w:space="0" w:color="BFBFBF"/>
              <w:right w:val="single" w:sz="4" w:space="0" w:color="BFBFBF"/>
            </w:tcBorders>
            <w:vAlign w:val="center"/>
            <w:hideMark/>
          </w:tcPr>
          <w:p w14:paraId="3856DB4B" w14:textId="77777777" w:rsidR="000E61A5" w:rsidRPr="00215F99" w:rsidRDefault="000E61A5" w:rsidP="00717966">
            <w:pPr>
              <w:spacing w:after="0" w:line="240" w:lineRule="auto"/>
              <w:rPr>
                <w:rFonts w:eastAsia="Times New Roman" w:cstheme="minorHAnsi"/>
                <w:color w:val="455560"/>
                <w:sz w:val="17"/>
                <w:szCs w:val="17"/>
              </w:rPr>
            </w:pPr>
          </w:p>
        </w:tc>
        <w:tc>
          <w:tcPr>
            <w:tcW w:w="1559" w:type="dxa"/>
            <w:vMerge w:val="restart"/>
            <w:tcBorders>
              <w:top w:val="nil"/>
              <w:left w:val="single" w:sz="4" w:space="0" w:color="BFBFBF"/>
              <w:bottom w:val="nil"/>
              <w:right w:val="single" w:sz="4" w:space="0" w:color="BFBFBF"/>
            </w:tcBorders>
            <w:shd w:val="clear" w:color="000000" w:fill="F2F2F2"/>
            <w:noWrap/>
            <w:vAlign w:val="center"/>
            <w:hideMark/>
          </w:tcPr>
          <w:p w14:paraId="77279D17" w14:textId="77777777" w:rsidR="000E61A5" w:rsidRPr="00215F99" w:rsidRDefault="000E61A5" w:rsidP="00717966">
            <w:pPr>
              <w:spacing w:after="0" w:line="240" w:lineRule="auto"/>
              <w:rPr>
                <w:rFonts w:eastAsia="Times New Roman" w:cstheme="minorHAnsi"/>
                <w:b/>
                <w:bCs/>
                <w:color w:val="455560"/>
                <w:sz w:val="17"/>
                <w:szCs w:val="17"/>
              </w:rPr>
            </w:pPr>
            <w:r w:rsidRPr="00215F99">
              <w:rPr>
                <w:rFonts w:eastAsia="Times New Roman" w:cstheme="minorHAnsi"/>
                <w:b/>
                <w:bCs/>
                <w:color w:val="455560"/>
                <w:sz w:val="17"/>
                <w:szCs w:val="17"/>
              </w:rPr>
              <w:t>B.4</w:t>
            </w:r>
          </w:p>
          <w:p w14:paraId="45C27B2F" w14:textId="77777777" w:rsidR="000E61A5" w:rsidRPr="00215F99" w:rsidRDefault="000E61A5" w:rsidP="00717966">
            <w:pPr>
              <w:spacing w:after="0" w:line="240" w:lineRule="auto"/>
              <w:rPr>
                <w:rFonts w:eastAsia="Times New Roman" w:cstheme="minorHAnsi"/>
                <w:b/>
                <w:bCs/>
                <w:color w:val="455560"/>
                <w:sz w:val="17"/>
                <w:szCs w:val="17"/>
              </w:rPr>
            </w:pPr>
            <w:r w:rsidRPr="00215F99">
              <w:rPr>
                <w:rFonts w:eastAsia="Times New Roman" w:cstheme="minorHAnsi"/>
                <w:color w:val="455560"/>
                <w:sz w:val="17"/>
                <w:szCs w:val="17"/>
              </w:rPr>
              <w:t>Responsiveness</w:t>
            </w:r>
          </w:p>
        </w:tc>
        <w:tc>
          <w:tcPr>
            <w:tcW w:w="3402" w:type="dxa"/>
            <w:tcBorders>
              <w:top w:val="nil"/>
              <w:left w:val="nil"/>
              <w:bottom w:val="single" w:sz="4" w:space="0" w:color="BFBFBF"/>
              <w:right w:val="single" w:sz="4" w:space="0" w:color="BFBFBF"/>
            </w:tcBorders>
            <w:shd w:val="clear" w:color="000000" w:fill="F2F2F2"/>
            <w:noWrap/>
            <w:vAlign w:val="center"/>
            <w:hideMark/>
          </w:tcPr>
          <w:p w14:paraId="50FC8F6B" w14:textId="77777777" w:rsidR="000E61A5" w:rsidRPr="00215F99" w:rsidRDefault="000E61A5" w:rsidP="00717966">
            <w:pPr>
              <w:spacing w:after="0" w:line="240" w:lineRule="auto"/>
              <w:rPr>
                <w:rFonts w:eastAsia="Times New Roman" w:cstheme="minorHAnsi"/>
                <w:color w:val="455560"/>
                <w:sz w:val="17"/>
                <w:szCs w:val="17"/>
              </w:rPr>
            </w:pPr>
            <w:r w:rsidRPr="00215F99">
              <w:rPr>
                <w:rFonts w:eastAsia="Times New Roman" w:cstheme="minorHAnsi"/>
                <w:b/>
                <w:bCs/>
                <w:color w:val="455560"/>
                <w:sz w:val="17"/>
                <w:szCs w:val="17"/>
              </w:rPr>
              <w:t>B.4.1</w:t>
            </w:r>
            <w:r w:rsidRPr="00215F99">
              <w:rPr>
                <w:rFonts w:eastAsia="Times New Roman" w:cstheme="minorHAnsi"/>
                <w:color w:val="455560"/>
                <w:sz w:val="17"/>
                <w:szCs w:val="17"/>
              </w:rPr>
              <w:t xml:space="preserve"> Green transition</w:t>
            </w:r>
          </w:p>
        </w:tc>
        <w:tc>
          <w:tcPr>
            <w:tcW w:w="709" w:type="dxa"/>
            <w:tcBorders>
              <w:top w:val="nil"/>
              <w:left w:val="nil"/>
              <w:bottom w:val="single" w:sz="4" w:space="0" w:color="BFBFBF"/>
              <w:right w:val="single" w:sz="4" w:space="0" w:color="BFBFBF"/>
            </w:tcBorders>
            <w:shd w:val="clear" w:color="000000" w:fill="F2F2F2"/>
            <w:noWrap/>
            <w:vAlign w:val="center"/>
            <w:hideMark/>
          </w:tcPr>
          <w:p w14:paraId="0416D171"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0" w:type="dxa"/>
            <w:tcBorders>
              <w:top w:val="nil"/>
              <w:left w:val="nil"/>
              <w:bottom w:val="single" w:sz="4" w:space="0" w:color="BFBFBF"/>
              <w:right w:val="single" w:sz="4" w:space="0" w:color="BFBFBF"/>
            </w:tcBorders>
            <w:shd w:val="clear" w:color="000000" w:fill="F2F2F2"/>
            <w:noWrap/>
            <w:vAlign w:val="center"/>
            <w:hideMark/>
          </w:tcPr>
          <w:p w14:paraId="7A6DA028"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51" w:type="dxa"/>
            <w:tcBorders>
              <w:top w:val="nil"/>
              <w:left w:val="nil"/>
              <w:bottom w:val="single" w:sz="4" w:space="0" w:color="BFBFBF"/>
              <w:right w:val="single" w:sz="4" w:space="0" w:color="BFBFBF"/>
            </w:tcBorders>
            <w:shd w:val="clear" w:color="000000" w:fill="F2F2F2"/>
            <w:noWrap/>
            <w:vAlign w:val="center"/>
            <w:hideMark/>
          </w:tcPr>
          <w:p w14:paraId="5AA62301"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48" w:type="dxa"/>
            <w:tcBorders>
              <w:top w:val="nil"/>
              <w:left w:val="nil"/>
              <w:bottom w:val="single" w:sz="4" w:space="0" w:color="BFBFBF"/>
              <w:right w:val="nil"/>
            </w:tcBorders>
            <w:shd w:val="clear" w:color="000000" w:fill="F2F2F2"/>
            <w:noWrap/>
            <w:vAlign w:val="center"/>
            <w:hideMark/>
          </w:tcPr>
          <w:p w14:paraId="3299BC99" w14:textId="77777777" w:rsidR="000E61A5" w:rsidRPr="00215F99" w:rsidRDefault="000E61A5" w:rsidP="00717966">
            <w:pPr>
              <w:spacing w:after="0" w:line="240" w:lineRule="auto"/>
              <w:jc w:val="center"/>
              <w:rPr>
                <w:rFonts w:eastAsia="Times New Roman" w:cstheme="minorHAnsi"/>
                <w:b/>
                <w:bCs/>
                <w:color w:val="455560"/>
                <w:sz w:val="17"/>
                <w:szCs w:val="17"/>
              </w:rPr>
            </w:pPr>
          </w:p>
        </w:tc>
      </w:tr>
      <w:tr w:rsidR="000E61A5" w:rsidRPr="00215F99" w14:paraId="18012B60" w14:textId="77777777" w:rsidTr="00717966">
        <w:trPr>
          <w:trHeight w:val="300"/>
        </w:trPr>
        <w:tc>
          <w:tcPr>
            <w:tcW w:w="851" w:type="dxa"/>
            <w:vMerge/>
            <w:tcBorders>
              <w:top w:val="nil"/>
              <w:left w:val="nil"/>
              <w:bottom w:val="single" w:sz="8" w:space="0" w:color="BFBFBF"/>
              <w:right w:val="single" w:sz="4" w:space="0" w:color="BFBFBF"/>
            </w:tcBorders>
            <w:vAlign w:val="center"/>
            <w:hideMark/>
          </w:tcPr>
          <w:p w14:paraId="446090D4" w14:textId="77777777" w:rsidR="000E61A5" w:rsidRPr="00215F99" w:rsidRDefault="000E61A5" w:rsidP="00717966">
            <w:pPr>
              <w:spacing w:after="0" w:line="240" w:lineRule="auto"/>
              <w:rPr>
                <w:rFonts w:eastAsia="Times New Roman" w:cstheme="minorHAnsi"/>
                <w:color w:val="455560"/>
                <w:sz w:val="17"/>
                <w:szCs w:val="17"/>
              </w:rPr>
            </w:pPr>
          </w:p>
        </w:tc>
        <w:tc>
          <w:tcPr>
            <w:tcW w:w="1559" w:type="dxa"/>
            <w:vMerge/>
            <w:tcBorders>
              <w:top w:val="nil"/>
              <w:left w:val="single" w:sz="4" w:space="0" w:color="BFBFBF"/>
              <w:bottom w:val="nil"/>
              <w:right w:val="single" w:sz="4" w:space="0" w:color="BFBFBF"/>
            </w:tcBorders>
            <w:vAlign w:val="center"/>
            <w:hideMark/>
          </w:tcPr>
          <w:p w14:paraId="47A0FE37" w14:textId="77777777" w:rsidR="000E61A5" w:rsidRPr="00215F99" w:rsidRDefault="000E61A5" w:rsidP="00717966">
            <w:pPr>
              <w:spacing w:after="0" w:line="240" w:lineRule="auto"/>
              <w:rPr>
                <w:rFonts w:eastAsia="Times New Roman" w:cstheme="minorHAnsi"/>
                <w:b/>
                <w:bCs/>
                <w:color w:val="455560"/>
                <w:sz w:val="17"/>
                <w:szCs w:val="17"/>
              </w:rPr>
            </w:pPr>
          </w:p>
        </w:tc>
        <w:tc>
          <w:tcPr>
            <w:tcW w:w="3402" w:type="dxa"/>
            <w:tcBorders>
              <w:top w:val="nil"/>
              <w:left w:val="nil"/>
              <w:bottom w:val="single" w:sz="4" w:space="0" w:color="BFBFBF"/>
              <w:right w:val="single" w:sz="4" w:space="0" w:color="BFBFBF"/>
            </w:tcBorders>
            <w:shd w:val="clear" w:color="000000" w:fill="F2F2F2"/>
            <w:noWrap/>
            <w:vAlign w:val="center"/>
            <w:hideMark/>
          </w:tcPr>
          <w:p w14:paraId="06455EB9" w14:textId="77777777" w:rsidR="000E61A5" w:rsidRPr="00215F99" w:rsidRDefault="000E61A5" w:rsidP="00717966">
            <w:pPr>
              <w:spacing w:after="0" w:line="240" w:lineRule="auto"/>
              <w:rPr>
                <w:rFonts w:eastAsia="Times New Roman" w:cstheme="minorHAnsi"/>
                <w:color w:val="455560"/>
                <w:sz w:val="17"/>
                <w:szCs w:val="17"/>
              </w:rPr>
            </w:pPr>
            <w:r w:rsidRPr="00215F99">
              <w:rPr>
                <w:rFonts w:eastAsia="Times New Roman" w:cstheme="minorHAnsi"/>
                <w:b/>
                <w:bCs/>
                <w:color w:val="455560"/>
                <w:sz w:val="17"/>
                <w:szCs w:val="17"/>
              </w:rPr>
              <w:t>B.4.2</w:t>
            </w:r>
            <w:r w:rsidRPr="00215F99">
              <w:rPr>
                <w:rFonts w:eastAsia="Times New Roman" w:cstheme="minorHAnsi"/>
                <w:color w:val="455560"/>
                <w:sz w:val="17"/>
                <w:szCs w:val="17"/>
              </w:rPr>
              <w:t xml:space="preserve"> Digital transition</w:t>
            </w:r>
          </w:p>
        </w:tc>
        <w:tc>
          <w:tcPr>
            <w:tcW w:w="709" w:type="dxa"/>
            <w:tcBorders>
              <w:top w:val="nil"/>
              <w:left w:val="nil"/>
              <w:bottom w:val="single" w:sz="4" w:space="0" w:color="BFBFBF"/>
              <w:right w:val="single" w:sz="4" w:space="0" w:color="BFBFBF"/>
            </w:tcBorders>
            <w:shd w:val="clear" w:color="000000" w:fill="F2F2F2"/>
            <w:noWrap/>
            <w:vAlign w:val="center"/>
            <w:hideMark/>
          </w:tcPr>
          <w:p w14:paraId="2E4F9169"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0" w:type="dxa"/>
            <w:tcBorders>
              <w:top w:val="nil"/>
              <w:left w:val="nil"/>
              <w:bottom w:val="single" w:sz="4" w:space="0" w:color="BFBFBF"/>
              <w:right w:val="single" w:sz="4" w:space="0" w:color="BFBFBF"/>
            </w:tcBorders>
            <w:shd w:val="clear" w:color="000000" w:fill="F2F2F2"/>
            <w:noWrap/>
            <w:vAlign w:val="center"/>
            <w:hideMark/>
          </w:tcPr>
          <w:p w14:paraId="3D8A3772"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51" w:type="dxa"/>
            <w:tcBorders>
              <w:top w:val="nil"/>
              <w:left w:val="nil"/>
              <w:bottom w:val="single" w:sz="4" w:space="0" w:color="BFBFBF"/>
              <w:right w:val="single" w:sz="4" w:space="0" w:color="BFBFBF"/>
            </w:tcBorders>
            <w:shd w:val="clear" w:color="000000" w:fill="F2F2F2"/>
            <w:noWrap/>
            <w:vAlign w:val="center"/>
            <w:hideMark/>
          </w:tcPr>
          <w:p w14:paraId="7A7DE322"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48" w:type="dxa"/>
            <w:tcBorders>
              <w:top w:val="nil"/>
              <w:left w:val="nil"/>
              <w:bottom w:val="single" w:sz="4" w:space="0" w:color="BFBFBF"/>
              <w:right w:val="nil"/>
            </w:tcBorders>
            <w:shd w:val="clear" w:color="000000" w:fill="F2F2F2"/>
            <w:noWrap/>
            <w:vAlign w:val="center"/>
            <w:hideMark/>
          </w:tcPr>
          <w:p w14:paraId="4A7F7D92" w14:textId="77777777" w:rsidR="000E61A5" w:rsidRPr="00215F99" w:rsidRDefault="000E61A5" w:rsidP="00717966">
            <w:pPr>
              <w:spacing w:after="0" w:line="240" w:lineRule="auto"/>
              <w:jc w:val="center"/>
              <w:rPr>
                <w:rFonts w:eastAsia="Times New Roman" w:cstheme="minorHAnsi"/>
                <w:b/>
                <w:bCs/>
                <w:color w:val="455560"/>
                <w:sz w:val="17"/>
                <w:szCs w:val="17"/>
              </w:rPr>
            </w:pPr>
          </w:p>
        </w:tc>
      </w:tr>
      <w:tr w:rsidR="000E61A5" w:rsidRPr="00215F99" w14:paraId="01F133B2" w14:textId="77777777" w:rsidTr="00717966">
        <w:trPr>
          <w:trHeight w:val="315"/>
        </w:trPr>
        <w:tc>
          <w:tcPr>
            <w:tcW w:w="851" w:type="dxa"/>
            <w:vMerge/>
            <w:tcBorders>
              <w:top w:val="nil"/>
              <w:left w:val="nil"/>
              <w:bottom w:val="single" w:sz="8" w:space="0" w:color="BFBFBF"/>
              <w:right w:val="single" w:sz="4" w:space="0" w:color="BFBFBF"/>
            </w:tcBorders>
            <w:vAlign w:val="center"/>
            <w:hideMark/>
          </w:tcPr>
          <w:p w14:paraId="7FE9B379" w14:textId="77777777" w:rsidR="000E61A5" w:rsidRPr="00215F99" w:rsidRDefault="000E61A5" w:rsidP="00717966">
            <w:pPr>
              <w:spacing w:after="0" w:line="240" w:lineRule="auto"/>
              <w:rPr>
                <w:rFonts w:eastAsia="Times New Roman" w:cstheme="minorHAnsi"/>
                <w:color w:val="455560"/>
                <w:sz w:val="17"/>
                <w:szCs w:val="17"/>
              </w:rPr>
            </w:pPr>
          </w:p>
        </w:tc>
        <w:tc>
          <w:tcPr>
            <w:tcW w:w="1559" w:type="dxa"/>
            <w:vMerge/>
            <w:tcBorders>
              <w:top w:val="nil"/>
              <w:left w:val="single" w:sz="4" w:space="0" w:color="BFBFBF"/>
              <w:bottom w:val="nil"/>
              <w:right w:val="single" w:sz="4" w:space="0" w:color="BFBFBF"/>
            </w:tcBorders>
            <w:vAlign w:val="center"/>
            <w:hideMark/>
          </w:tcPr>
          <w:p w14:paraId="4397329A" w14:textId="77777777" w:rsidR="000E61A5" w:rsidRPr="00215F99" w:rsidRDefault="000E61A5" w:rsidP="00717966">
            <w:pPr>
              <w:spacing w:after="0" w:line="240" w:lineRule="auto"/>
              <w:rPr>
                <w:rFonts w:eastAsia="Times New Roman" w:cstheme="minorHAnsi"/>
                <w:b/>
                <w:bCs/>
                <w:color w:val="455560"/>
                <w:sz w:val="17"/>
                <w:szCs w:val="17"/>
              </w:rPr>
            </w:pPr>
          </w:p>
        </w:tc>
        <w:tc>
          <w:tcPr>
            <w:tcW w:w="3402" w:type="dxa"/>
            <w:tcBorders>
              <w:top w:val="nil"/>
              <w:left w:val="nil"/>
              <w:bottom w:val="single" w:sz="8" w:space="0" w:color="BFBFBF"/>
              <w:right w:val="single" w:sz="4" w:space="0" w:color="BFBFBF"/>
            </w:tcBorders>
            <w:shd w:val="clear" w:color="000000" w:fill="F2F2F2"/>
            <w:noWrap/>
            <w:vAlign w:val="center"/>
            <w:hideMark/>
          </w:tcPr>
          <w:p w14:paraId="1A7D0B59" w14:textId="77777777" w:rsidR="000E61A5" w:rsidRPr="00215F99" w:rsidRDefault="000E61A5" w:rsidP="00717966">
            <w:pPr>
              <w:spacing w:after="0" w:line="240" w:lineRule="auto"/>
              <w:rPr>
                <w:rFonts w:eastAsia="Times New Roman" w:cstheme="minorHAnsi"/>
                <w:color w:val="455560"/>
                <w:sz w:val="17"/>
                <w:szCs w:val="17"/>
              </w:rPr>
            </w:pPr>
            <w:r w:rsidRPr="00215F99">
              <w:rPr>
                <w:rFonts w:eastAsia="Times New Roman" w:cstheme="minorHAnsi"/>
                <w:b/>
                <w:bCs/>
                <w:color w:val="455560"/>
                <w:sz w:val="17"/>
                <w:szCs w:val="17"/>
              </w:rPr>
              <w:t>B.4.3</w:t>
            </w:r>
            <w:r w:rsidRPr="00215F99">
              <w:rPr>
                <w:rFonts w:eastAsia="Times New Roman" w:cstheme="minorHAnsi"/>
                <w:color w:val="455560"/>
                <w:sz w:val="17"/>
                <w:szCs w:val="17"/>
              </w:rPr>
              <w:t xml:space="preserve"> Programme content</w:t>
            </w:r>
          </w:p>
        </w:tc>
        <w:tc>
          <w:tcPr>
            <w:tcW w:w="709" w:type="dxa"/>
            <w:tcBorders>
              <w:top w:val="nil"/>
              <w:left w:val="nil"/>
              <w:bottom w:val="single" w:sz="8" w:space="0" w:color="BFBFBF"/>
              <w:right w:val="single" w:sz="4" w:space="0" w:color="BFBFBF"/>
            </w:tcBorders>
            <w:shd w:val="clear" w:color="000000" w:fill="F2F2F2"/>
            <w:noWrap/>
            <w:vAlign w:val="center"/>
            <w:hideMark/>
          </w:tcPr>
          <w:p w14:paraId="4A292129"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0" w:type="dxa"/>
            <w:tcBorders>
              <w:top w:val="nil"/>
              <w:left w:val="nil"/>
              <w:bottom w:val="single" w:sz="8" w:space="0" w:color="BFBFBF"/>
              <w:right w:val="single" w:sz="4" w:space="0" w:color="BFBFBF"/>
            </w:tcBorders>
            <w:shd w:val="clear" w:color="000000" w:fill="F2F2F2"/>
            <w:noWrap/>
            <w:vAlign w:val="center"/>
            <w:hideMark/>
          </w:tcPr>
          <w:p w14:paraId="26E9F4D8"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51" w:type="dxa"/>
            <w:tcBorders>
              <w:top w:val="nil"/>
              <w:left w:val="nil"/>
              <w:bottom w:val="single" w:sz="8" w:space="0" w:color="BFBFBF"/>
              <w:right w:val="single" w:sz="4" w:space="0" w:color="BFBFBF"/>
            </w:tcBorders>
            <w:shd w:val="clear" w:color="000000" w:fill="F2F2F2"/>
            <w:noWrap/>
            <w:vAlign w:val="center"/>
            <w:hideMark/>
          </w:tcPr>
          <w:p w14:paraId="7862B8DD"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48" w:type="dxa"/>
            <w:tcBorders>
              <w:top w:val="nil"/>
              <w:left w:val="nil"/>
              <w:bottom w:val="single" w:sz="8" w:space="0" w:color="BFBFBF"/>
              <w:right w:val="nil"/>
            </w:tcBorders>
            <w:shd w:val="clear" w:color="000000" w:fill="F2F2F2"/>
            <w:noWrap/>
            <w:vAlign w:val="center"/>
            <w:hideMark/>
          </w:tcPr>
          <w:p w14:paraId="7E5AF18A" w14:textId="77777777" w:rsidR="000E61A5" w:rsidRPr="00215F99" w:rsidRDefault="000E61A5" w:rsidP="00717966">
            <w:pPr>
              <w:spacing w:after="0" w:line="240" w:lineRule="auto"/>
              <w:jc w:val="center"/>
              <w:rPr>
                <w:rFonts w:eastAsia="Times New Roman" w:cstheme="minorHAnsi"/>
                <w:b/>
                <w:bCs/>
                <w:color w:val="455560"/>
                <w:sz w:val="17"/>
                <w:szCs w:val="17"/>
              </w:rPr>
            </w:pPr>
          </w:p>
        </w:tc>
      </w:tr>
      <w:tr w:rsidR="000E61A5" w:rsidRPr="00215F99" w14:paraId="08CDC049" w14:textId="77777777" w:rsidTr="00717966">
        <w:trPr>
          <w:trHeight w:val="300"/>
        </w:trPr>
        <w:tc>
          <w:tcPr>
            <w:tcW w:w="851" w:type="dxa"/>
            <w:vMerge w:val="restart"/>
            <w:tcBorders>
              <w:top w:val="nil"/>
              <w:left w:val="nil"/>
              <w:bottom w:val="single" w:sz="4" w:space="0" w:color="BFBFBF"/>
              <w:right w:val="single" w:sz="4" w:space="0" w:color="BFBFBF"/>
            </w:tcBorders>
            <w:shd w:val="clear" w:color="000000" w:fill="F2F2F2"/>
            <w:vAlign w:val="center"/>
            <w:hideMark/>
          </w:tcPr>
          <w:p w14:paraId="1D58F12F" w14:textId="77777777" w:rsidR="000E61A5" w:rsidRPr="00215F99" w:rsidRDefault="000E61A5" w:rsidP="00717966">
            <w:pPr>
              <w:spacing w:after="0" w:line="240" w:lineRule="auto"/>
              <w:jc w:val="center"/>
              <w:rPr>
                <w:rFonts w:eastAsia="Times New Roman" w:cstheme="minorHAnsi"/>
                <w:b/>
                <w:bCs/>
                <w:color w:val="455560"/>
                <w:sz w:val="17"/>
                <w:szCs w:val="17"/>
              </w:rPr>
            </w:pPr>
            <w:r w:rsidRPr="00215F99">
              <w:rPr>
                <w:rFonts w:eastAsia="Times New Roman" w:cstheme="minorHAnsi"/>
                <w:b/>
                <w:bCs/>
                <w:color w:val="455560"/>
                <w:sz w:val="17"/>
                <w:szCs w:val="17"/>
              </w:rPr>
              <w:t>C.</w:t>
            </w:r>
          </w:p>
          <w:p w14:paraId="7829506B" w14:textId="77777777" w:rsidR="000E61A5" w:rsidRPr="00215F99" w:rsidRDefault="000E61A5" w:rsidP="00717966">
            <w:pPr>
              <w:spacing w:after="0" w:line="240" w:lineRule="auto"/>
              <w:jc w:val="center"/>
              <w:rPr>
                <w:rFonts w:eastAsia="Times New Roman" w:cstheme="minorHAnsi"/>
                <w:b/>
                <w:bCs/>
                <w:color w:val="455560"/>
                <w:sz w:val="17"/>
                <w:szCs w:val="17"/>
              </w:rPr>
            </w:pPr>
            <w:r w:rsidRPr="00215F99">
              <w:rPr>
                <w:rFonts w:eastAsia="Times New Roman" w:cstheme="minorHAnsi"/>
                <w:color w:val="455560"/>
                <w:sz w:val="17"/>
                <w:szCs w:val="17"/>
              </w:rPr>
              <w:t>System</w:t>
            </w:r>
          </w:p>
        </w:tc>
        <w:tc>
          <w:tcPr>
            <w:tcW w:w="1559" w:type="dxa"/>
            <w:vMerge w:val="restart"/>
            <w:tcBorders>
              <w:top w:val="single" w:sz="8" w:space="0" w:color="BFBFBF"/>
              <w:left w:val="single" w:sz="4" w:space="0" w:color="BFBFBF"/>
              <w:bottom w:val="single" w:sz="4" w:space="0" w:color="BFBFBF"/>
              <w:right w:val="single" w:sz="4" w:space="0" w:color="BFBFBF"/>
            </w:tcBorders>
            <w:shd w:val="clear" w:color="000000" w:fill="F2F2F2"/>
            <w:noWrap/>
            <w:vAlign w:val="center"/>
            <w:hideMark/>
          </w:tcPr>
          <w:p w14:paraId="63FF207D" w14:textId="77777777" w:rsidR="000E61A5" w:rsidRPr="00215F99" w:rsidRDefault="000E61A5" w:rsidP="00717966">
            <w:pPr>
              <w:spacing w:after="0" w:line="240" w:lineRule="auto"/>
              <w:rPr>
                <w:rFonts w:eastAsia="Times New Roman" w:cstheme="minorHAnsi"/>
                <w:b/>
                <w:bCs/>
                <w:color w:val="455560"/>
                <w:sz w:val="17"/>
                <w:szCs w:val="17"/>
              </w:rPr>
            </w:pPr>
            <w:r w:rsidRPr="00215F99">
              <w:rPr>
                <w:rFonts w:eastAsia="Times New Roman" w:cstheme="minorHAnsi"/>
                <w:b/>
                <w:bCs/>
                <w:color w:val="455560"/>
                <w:sz w:val="17"/>
                <w:szCs w:val="17"/>
              </w:rPr>
              <w:t xml:space="preserve">C.1 </w:t>
            </w:r>
            <w:r w:rsidRPr="00215F99">
              <w:rPr>
                <w:rFonts w:eastAsia="Times New Roman" w:cstheme="minorHAnsi"/>
                <w:color w:val="455560"/>
                <w:sz w:val="17"/>
                <w:szCs w:val="17"/>
              </w:rPr>
              <w:t>Steering and management</w:t>
            </w:r>
          </w:p>
        </w:tc>
        <w:tc>
          <w:tcPr>
            <w:tcW w:w="3402" w:type="dxa"/>
            <w:tcBorders>
              <w:top w:val="nil"/>
              <w:left w:val="nil"/>
              <w:bottom w:val="single" w:sz="4" w:space="0" w:color="BFBFBF"/>
              <w:right w:val="single" w:sz="4" w:space="0" w:color="BFBFBF"/>
            </w:tcBorders>
            <w:shd w:val="clear" w:color="000000" w:fill="F2F2F2"/>
            <w:noWrap/>
            <w:vAlign w:val="center"/>
            <w:hideMark/>
          </w:tcPr>
          <w:p w14:paraId="4D8E52EC" w14:textId="77777777" w:rsidR="000E61A5" w:rsidRPr="00215F99" w:rsidRDefault="000E61A5" w:rsidP="00717966">
            <w:pPr>
              <w:spacing w:after="0" w:line="240" w:lineRule="auto"/>
              <w:rPr>
                <w:rFonts w:eastAsia="Times New Roman" w:cstheme="minorHAnsi"/>
                <w:color w:val="455560"/>
                <w:sz w:val="17"/>
                <w:szCs w:val="17"/>
              </w:rPr>
            </w:pPr>
            <w:r w:rsidRPr="00215F99">
              <w:rPr>
                <w:rFonts w:eastAsia="Times New Roman" w:cstheme="minorHAnsi"/>
                <w:b/>
                <w:bCs/>
                <w:color w:val="455560"/>
                <w:sz w:val="17"/>
                <w:szCs w:val="17"/>
              </w:rPr>
              <w:t>C.1.1</w:t>
            </w:r>
            <w:r w:rsidRPr="00215F99">
              <w:rPr>
                <w:rFonts w:eastAsia="Times New Roman" w:cstheme="minorHAnsi"/>
                <w:color w:val="455560"/>
                <w:sz w:val="17"/>
                <w:szCs w:val="17"/>
              </w:rPr>
              <w:t xml:space="preserve"> Data availability and use</w:t>
            </w:r>
          </w:p>
        </w:tc>
        <w:tc>
          <w:tcPr>
            <w:tcW w:w="709" w:type="dxa"/>
            <w:tcBorders>
              <w:top w:val="nil"/>
              <w:left w:val="nil"/>
              <w:bottom w:val="single" w:sz="4" w:space="0" w:color="BFBFBF"/>
              <w:right w:val="single" w:sz="4" w:space="0" w:color="BFBFBF"/>
            </w:tcBorders>
            <w:shd w:val="clear" w:color="000000" w:fill="F2F2F2"/>
            <w:noWrap/>
            <w:vAlign w:val="center"/>
            <w:hideMark/>
          </w:tcPr>
          <w:p w14:paraId="680FF6B5"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0" w:type="dxa"/>
            <w:tcBorders>
              <w:top w:val="nil"/>
              <w:left w:val="nil"/>
              <w:bottom w:val="single" w:sz="4" w:space="0" w:color="BFBFBF"/>
              <w:right w:val="single" w:sz="4" w:space="0" w:color="BFBFBF"/>
            </w:tcBorders>
            <w:shd w:val="clear" w:color="000000" w:fill="F2F2F2"/>
            <w:noWrap/>
            <w:vAlign w:val="center"/>
            <w:hideMark/>
          </w:tcPr>
          <w:p w14:paraId="477868D4"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51" w:type="dxa"/>
            <w:tcBorders>
              <w:top w:val="nil"/>
              <w:left w:val="nil"/>
              <w:bottom w:val="single" w:sz="4" w:space="0" w:color="BFBFBF"/>
              <w:right w:val="single" w:sz="4" w:space="0" w:color="BFBFBF"/>
            </w:tcBorders>
            <w:shd w:val="clear" w:color="000000" w:fill="F2F2F2"/>
            <w:noWrap/>
            <w:vAlign w:val="center"/>
            <w:hideMark/>
          </w:tcPr>
          <w:p w14:paraId="715A5625"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48" w:type="dxa"/>
            <w:tcBorders>
              <w:top w:val="nil"/>
              <w:left w:val="nil"/>
              <w:bottom w:val="single" w:sz="4" w:space="0" w:color="BFBFBF"/>
              <w:right w:val="nil"/>
            </w:tcBorders>
            <w:shd w:val="clear" w:color="000000" w:fill="F2F2F2"/>
            <w:noWrap/>
            <w:vAlign w:val="center"/>
            <w:hideMark/>
          </w:tcPr>
          <w:p w14:paraId="31A7AE12" w14:textId="77777777" w:rsidR="000E61A5" w:rsidRPr="00215F99" w:rsidRDefault="000E61A5" w:rsidP="00717966">
            <w:pPr>
              <w:spacing w:after="0" w:line="240" w:lineRule="auto"/>
              <w:jc w:val="center"/>
              <w:rPr>
                <w:rFonts w:eastAsia="Times New Roman" w:cstheme="minorHAnsi"/>
                <w:b/>
                <w:bCs/>
                <w:color w:val="455560"/>
                <w:sz w:val="17"/>
                <w:szCs w:val="17"/>
              </w:rPr>
            </w:pPr>
          </w:p>
        </w:tc>
      </w:tr>
      <w:tr w:rsidR="000E61A5" w:rsidRPr="00215F99" w14:paraId="18936CBE" w14:textId="77777777" w:rsidTr="00717966">
        <w:trPr>
          <w:trHeight w:val="300"/>
        </w:trPr>
        <w:tc>
          <w:tcPr>
            <w:tcW w:w="851" w:type="dxa"/>
            <w:vMerge/>
            <w:tcBorders>
              <w:top w:val="nil"/>
              <w:left w:val="nil"/>
              <w:bottom w:val="single" w:sz="4" w:space="0" w:color="BFBFBF"/>
              <w:right w:val="single" w:sz="4" w:space="0" w:color="BFBFBF"/>
            </w:tcBorders>
            <w:vAlign w:val="center"/>
            <w:hideMark/>
          </w:tcPr>
          <w:p w14:paraId="58565888" w14:textId="77777777" w:rsidR="000E61A5" w:rsidRPr="00215F99" w:rsidRDefault="000E61A5" w:rsidP="00717966">
            <w:pPr>
              <w:spacing w:after="0" w:line="240" w:lineRule="auto"/>
              <w:rPr>
                <w:rFonts w:eastAsia="Times New Roman" w:cstheme="minorHAnsi"/>
                <w:b/>
                <w:bCs/>
                <w:color w:val="455560"/>
                <w:sz w:val="17"/>
                <w:szCs w:val="17"/>
              </w:rPr>
            </w:pPr>
          </w:p>
        </w:tc>
        <w:tc>
          <w:tcPr>
            <w:tcW w:w="1559" w:type="dxa"/>
            <w:vMerge/>
            <w:tcBorders>
              <w:top w:val="single" w:sz="8" w:space="0" w:color="BFBFBF"/>
              <w:left w:val="single" w:sz="4" w:space="0" w:color="BFBFBF"/>
              <w:bottom w:val="single" w:sz="4" w:space="0" w:color="BFBFBF"/>
              <w:right w:val="single" w:sz="4" w:space="0" w:color="BFBFBF"/>
            </w:tcBorders>
            <w:vAlign w:val="center"/>
            <w:hideMark/>
          </w:tcPr>
          <w:p w14:paraId="038F3319" w14:textId="77777777" w:rsidR="000E61A5" w:rsidRPr="00215F99" w:rsidRDefault="000E61A5" w:rsidP="00717966">
            <w:pPr>
              <w:spacing w:after="0" w:line="240" w:lineRule="auto"/>
              <w:rPr>
                <w:rFonts w:eastAsia="Times New Roman" w:cstheme="minorHAnsi"/>
                <w:b/>
                <w:bCs/>
                <w:color w:val="455560"/>
                <w:sz w:val="17"/>
                <w:szCs w:val="17"/>
              </w:rPr>
            </w:pPr>
          </w:p>
        </w:tc>
        <w:tc>
          <w:tcPr>
            <w:tcW w:w="3402" w:type="dxa"/>
            <w:tcBorders>
              <w:top w:val="nil"/>
              <w:left w:val="nil"/>
              <w:bottom w:val="single" w:sz="4" w:space="0" w:color="BFBFBF"/>
              <w:right w:val="single" w:sz="4" w:space="0" w:color="BFBFBF"/>
            </w:tcBorders>
            <w:shd w:val="clear" w:color="000000" w:fill="F2F2F2"/>
            <w:noWrap/>
            <w:vAlign w:val="center"/>
            <w:hideMark/>
          </w:tcPr>
          <w:p w14:paraId="27A809D2" w14:textId="77777777" w:rsidR="000E61A5" w:rsidRPr="00215F99" w:rsidRDefault="000E61A5" w:rsidP="00717966">
            <w:pPr>
              <w:spacing w:after="0" w:line="240" w:lineRule="auto"/>
              <w:rPr>
                <w:rFonts w:eastAsia="Times New Roman" w:cstheme="minorHAnsi"/>
                <w:color w:val="455560"/>
                <w:sz w:val="17"/>
                <w:szCs w:val="17"/>
              </w:rPr>
            </w:pPr>
            <w:r w:rsidRPr="00215F99">
              <w:rPr>
                <w:rFonts w:eastAsia="Times New Roman" w:cstheme="minorHAnsi"/>
                <w:b/>
                <w:bCs/>
                <w:color w:val="455560"/>
                <w:sz w:val="17"/>
                <w:szCs w:val="17"/>
              </w:rPr>
              <w:t>C.1.3</w:t>
            </w:r>
            <w:r w:rsidRPr="00215F99">
              <w:rPr>
                <w:rFonts w:eastAsia="Times New Roman" w:cstheme="minorHAnsi"/>
                <w:color w:val="455560"/>
                <w:sz w:val="17"/>
                <w:szCs w:val="17"/>
              </w:rPr>
              <w:t xml:space="preserve"> Quality assurance</w:t>
            </w:r>
          </w:p>
        </w:tc>
        <w:tc>
          <w:tcPr>
            <w:tcW w:w="709" w:type="dxa"/>
            <w:tcBorders>
              <w:top w:val="nil"/>
              <w:left w:val="nil"/>
              <w:bottom w:val="single" w:sz="4" w:space="0" w:color="BFBFBF"/>
              <w:right w:val="single" w:sz="4" w:space="0" w:color="BFBFBF"/>
            </w:tcBorders>
            <w:shd w:val="clear" w:color="000000" w:fill="F2F2F2"/>
            <w:noWrap/>
            <w:vAlign w:val="center"/>
            <w:hideMark/>
          </w:tcPr>
          <w:p w14:paraId="748D788E"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0" w:type="dxa"/>
            <w:tcBorders>
              <w:top w:val="nil"/>
              <w:left w:val="nil"/>
              <w:bottom w:val="single" w:sz="4" w:space="0" w:color="BFBFBF"/>
              <w:right w:val="single" w:sz="4" w:space="0" w:color="BFBFBF"/>
            </w:tcBorders>
            <w:shd w:val="clear" w:color="000000" w:fill="F2F2F2"/>
            <w:noWrap/>
            <w:vAlign w:val="center"/>
            <w:hideMark/>
          </w:tcPr>
          <w:p w14:paraId="7256D36C"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51" w:type="dxa"/>
            <w:tcBorders>
              <w:top w:val="nil"/>
              <w:left w:val="nil"/>
              <w:bottom w:val="single" w:sz="4" w:space="0" w:color="BFBFBF"/>
              <w:right w:val="single" w:sz="4" w:space="0" w:color="BFBFBF"/>
            </w:tcBorders>
            <w:shd w:val="clear" w:color="000000" w:fill="F2F2F2"/>
            <w:noWrap/>
            <w:vAlign w:val="center"/>
            <w:hideMark/>
          </w:tcPr>
          <w:p w14:paraId="07F9CF8C"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48" w:type="dxa"/>
            <w:tcBorders>
              <w:top w:val="nil"/>
              <w:left w:val="nil"/>
              <w:bottom w:val="single" w:sz="4" w:space="0" w:color="BFBFBF"/>
              <w:right w:val="nil"/>
            </w:tcBorders>
            <w:shd w:val="clear" w:color="000000" w:fill="F2F2F2"/>
            <w:noWrap/>
            <w:vAlign w:val="center"/>
            <w:hideMark/>
          </w:tcPr>
          <w:p w14:paraId="159BE456" w14:textId="77777777" w:rsidR="000E61A5" w:rsidRPr="00215F99" w:rsidRDefault="000E61A5" w:rsidP="00717966">
            <w:pPr>
              <w:spacing w:after="0" w:line="240" w:lineRule="auto"/>
              <w:jc w:val="center"/>
              <w:rPr>
                <w:rFonts w:eastAsia="Times New Roman" w:cstheme="minorHAnsi"/>
                <w:b/>
                <w:bCs/>
                <w:color w:val="455560"/>
                <w:sz w:val="17"/>
                <w:szCs w:val="17"/>
              </w:rPr>
            </w:pPr>
          </w:p>
        </w:tc>
      </w:tr>
      <w:tr w:rsidR="000E61A5" w:rsidRPr="00215F99" w14:paraId="3F28FF17" w14:textId="77777777" w:rsidTr="00717966">
        <w:trPr>
          <w:trHeight w:val="300"/>
        </w:trPr>
        <w:tc>
          <w:tcPr>
            <w:tcW w:w="851" w:type="dxa"/>
            <w:vMerge/>
            <w:tcBorders>
              <w:top w:val="nil"/>
              <w:left w:val="nil"/>
              <w:bottom w:val="single" w:sz="4" w:space="0" w:color="BFBFBF"/>
              <w:right w:val="single" w:sz="4" w:space="0" w:color="BFBFBF"/>
            </w:tcBorders>
            <w:vAlign w:val="center"/>
            <w:hideMark/>
          </w:tcPr>
          <w:p w14:paraId="6ABF8306" w14:textId="77777777" w:rsidR="000E61A5" w:rsidRPr="00215F99" w:rsidRDefault="000E61A5" w:rsidP="00717966">
            <w:pPr>
              <w:spacing w:after="0" w:line="240" w:lineRule="auto"/>
              <w:rPr>
                <w:rFonts w:eastAsia="Times New Roman" w:cstheme="minorHAnsi"/>
                <w:b/>
                <w:bCs/>
                <w:color w:val="455560"/>
                <w:sz w:val="17"/>
                <w:szCs w:val="17"/>
              </w:rPr>
            </w:pPr>
          </w:p>
        </w:tc>
        <w:tc>
          <w:tcPr>
            <w:tcW w:w="1559" w:type="dxa"/>
            <w:vMerge/>
            <w:tcBorders>
              <w:top w:val="single" w:sz="8" w:space="0" w:color="BFBFBF"/>
              <w:left w:val="single" w:sz="4" w:space="0" w:color="BFBFBF"/>
              <w:bottom w:val="single" w:sz="4" w:space="0" w:color="BFBFBF"/>
              <w:right w:val="single" w:sz="4" w:space="0" w:color="BFBFBF"/>
            </w:tcBorders>
            <w:vAlign w:val="center"/>
            <w:hideMark/>
          </w:tcPr>
          <w:p w14:paraId="50125A64" w14:textId="77777777" w:rsidR="000E61A5" w:rsidRPr="00215F99" w:rsidRDefault="000E61A5" w:rsidP="00717966">
            <w:pPr>
              <w:spacing w:after="0" w:line="240" w:lineRule="auto"/>
              <w:rPr>
                <w:rFonts w:eastAsia="Times New Roman" w:cstheme="minorHAnsi"/>
                <w:b/>
                <w:bCs/>
                <w:color w:val="455560"/>
                <w:sz w:val="17"/>
                <w:szCs w:val="17"/>
              </w:rPr>
            </w:pPr>
          </w:p>
        </w:tc>
        <w:tc>
          <w:tcPr>
            <w:tcW w:w="3402" w:type="dxa"/>
            <w:tcBorders>
              <w:top w:val="nil"/>
              <w:left w:val="nil"/>
              <w:bottom w:val="single" w:sz="4" w:space="0" w:color="BFBFBF"/>
              <w:right w:val="single" w:sz="4" w:space="0" w:color="BFBFBF"/>
            </w:tcBorders>
            <w:shd w:val="clear" w:color="000000" w:fill="F2F2F2"/>
            <w:noWrap/>
            <w:vAlign w:val="center"/>
            <w:hideMark/>
          </w:tcPr>
          <w:p w14:paraId="6B2286AB" w14:textId="77777777" w:rsidR="000E61A5" w:rsidRPr="00215F99" w:rsidRDefault="000E61A5" w:rsidP="00717966">
            <w:pPr>
              <w:spacing w:after="0" w:line="240" w:lineRule="auto"/>
              <w:rPr>
                <w:rFonts w:eastAsia="Times New Roman" w:cstheme="minorHAnsi"/>
                <w:color w:val="455560"/>
                <w:sz w:val="17"/>
                <w:szCs w:val="17"/>
              </w:rPr>
            </w:pPr>
            <w:r w:rsidRPr="00215F99">
              <w:rPr>
                <w:rFonts w:eastAsia="Times New Roman" w:cstheme="minorHAnsi"/>
                <w:b/>
                <w:bCs/>
                <w:color w:val="455560"/>
                <w:sz w:val="17"/>
                <w:szCs w:val="17"/>
              </w:rPr>
              <w:t>C.1.4</w:t>
            </w:r>
            <w:r w:rsidRPr="00215F99">
              <w:rPr>
                <w:rFonts w:eastAsia="Times New Roman" w:cstheme="minorHAnsi"/>
                <w:color w:val="455560"/>
                <w:sz w:val="17"/>
                <w:szCs w:val="17"/>
              </w:rPr>
              <w:t xml:space="preserve"> School leadership</w:t>
            </w:r>
          </w:p>
        </w:tc>
        <w:tc>
          <w:tcPr>
            <w:tcW w:w="709" w:type="dxa"/>
            <w:tcBorders>
              <w:top w:val="nil"/>
              <w:left w:val="nil"/>
              <w:bottom w:val="single" w:sz="4" w:space="0" w:color="BFBFBF"/>
              <w:right w:val="single" w:sz="4" w:space="0" w:color="BFBFBF"/>
            </w:tcBorders>
            <w:shd w:val="clear" w:color="000000" w:fill="F2F2F2"/>
            <w:noWrap/>
            <w:vAlign w:val="center"/>
            <w:hideMark/>
          </w:tcPr>
          <w:p w14:paraId="26952DE2"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0" w:type="dxa"/>
            <w:tcBorders>
              <w:top w:val="nil"/>
              <w:left w:val="nil"/>
              <w:bottom w:val="single" w:sz="4" w:space="0" w:color="BFBFBF"/>
              <w:right w:val="single" w:sz="4" w:space="0" w:color="BFBFBF"/>
            </w:tcBorders>
            <w:shd w:val="clear" w:color="000000" w:fill="F2F2F2"/>
            <w:noWrap/>
            <w:vAlign w:val="center"/>
            <w:hideMark/>
          </w:tcPr>
          <w:p w14:paraId="440DEFF9"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51" w:type="dxa"/>
            <w:tcBorders>
              <w:top w:val="nil"/>
              <w:left w:val="nil"/>
              <w:bottom w:val="single" w:sz="4" w:space="0" w:color="BFBFBF"/>
              <w:right w:val="single" w:sz="4" w:space="0" w:color="BFBFBF"/>
            </w:tcBorders>
            <w:shd w:val="clear" w:color="000000" w:fill="F2F2F2"/>
            <w:noWrap/>
            <w:vAlign w:val="center"/>
            <w:hideMark/>
          </w:tcPr>
          <w:p w14:paraId="65BBF820"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48" w:type="dxa"/>
            <w:tcBorders>
              <w:top w:val="nil"/>
              <w:left w:val="nil"/>
              <w:bottom w:val="single" w:sz="4" w:space="0" w:color="BFBFBF"/>
              <w:right w:val="nil"/>
            </w:tcBorders>
            <w:shd w:val="clear" w:color="000000" w:fill="F2F2F2"/>
            <w:noWrap/>
            <w:vAlign w:val="center"/>
            <w:hideMark/>
          </w:tcPr>
          <w:p w14:paraId="772AC734" w14:textId="77777777" w:rsidR="000E61A5" w:rsidRPr="00215F99" w:rsidRDefault="000E61A5" w:rsidP="00717966">
            <w:pPr>
              <w:spacing w:after="0" w:line="240" w:lineRule="auto"/>
              <w:jc w:val="center"/>
              <w:rPr>
                <w:rFonts w:eastAsia="Times New Roman" w:cstheme="minorHAnsi"/>
                <w:b/>
                <w:bCs/>
                <w:color w:val="455560"/>
                <w:sz w:val="17"/>
                <w:szCs w:val="17"/>
              </w:rPr>
            </w:pPr>
          </w:p>
        </w:tc>
      </w:tr>
      <w:tr w:rsidR="000E61A5" w:rsidRPr="00215F99" w14:paraId="37172CF4" w14:textId="77777777" w:rsidTr="00717966">
        <w:trPr>
          <w:trHeight w:val="300"/>
        </w:trPr>
        <w:tc>
          <w:tcPr>
            <w:tcW w:w="851" w:type="dxa"/>
            <w:vMerge/>
            <w:tcBorders>
              <w:top w:val="nil"/>
              <w:left w:val="nil"/>
              <w:bottom w:val="single" w:sz="4" w:space="0" w:color="BFBFBF"/>
              <w:right w:val="single" w:sz="4" w:space="0" w:color="BFBFBF"/>
            </w:tcBorders>
            <w:vAlign w:val="center"/>
            <w:hideMark/>
          </w:tcPr>
          <w:p w14:paraId="22CEF019" w14:textId="77777777" w:rsidR="000E61A5" w:rsidRPr="00215F99" w:rsidRDefault="000E61A5" w:rsidP="00717966">
            <w:pPr>
              <w:spacing w:after="0" w:line="240" w:lineRule="auto"/>
              <w:rPr>
                <w:rFonts w:eastAsia="Times New Roman" w:cstheme="minorHAnsi"/>
                <w:b/>
                <w:bCs/>
                <w:color w:val="455560"/>
                <w:sz w:val="17"/>
                <w:szCs w:val="17"/>
              </w:rPr>
            </w:pPr>
          </w:p>
        </w:tc>
        <w:tc>
          <w:tcPr>
            <w:tcW w:w="1559" w:type="dxa"/>
            <w:vMerge/>
            <w:tcBorders>
              <w:top w:val="single" w:sz="8" w:space="0" w:color="BFBFBF"/>
              <w:left w:val="single" w:sz="4" w:space="0" w:color="BFBFBF"/>
              <w:bottom w:val="single" w:sz="4" w:space="0" w:color="BFBFBF"/>
              <w:right w:val="single" w:sz="4" w:space="0" w:color="BFBFBF"/>
            </w:tcBorders>
            <w:vAlign w:val="center"/>
            <w:hideMark/>
          </w:tcPr>
          <w:p w14:paraId="77DDA148" w14:textId="77777777" w:rsidR="000E61A5" w:rsidRPr="00215F99" w:rsidRDefault="000E61A5" w:rsidP="00717966">
            <w:pPr>
              <w:spacing w:after="0" w:line="240" w:lineRule="auto"/>
              <w:rPr>
                <w:rFonts w:eastAsia="Times New Roman" w:cstheme="minorHAnsi"/>
                <w:b/>
                <w:bCs/>
                <w:color w:val="455560"/>
                <w:sz w:val="17"/>
                <w:szCs w:val="17"/>
              </w:rPr>
            </w:pPr>
          </w:p>
        </w:tc>
        <w:tc>
          <w:tcPr>
            <w:tcW w:w="3402" w:type="dxa"/>
            <w:tcBorders>
              <w:top w:val="nil"/>
              <w:left w:val="nil"/>
              <w:bottom w:val="single" w:sz="4" w:space="0" w:color="BFBFBF"/>
              <w:right w:val="single" w:sz="4" w:space="0" w:color="BFBFBF"/>
            </w:tcBorders>
            <w:shd w:val="clear" w:color="000000" w:fill="F2F2F2"/>
            <w:noWrap/>
            <w:vAlign w:val="center"/>
            <w:hideMark/>
          </w:tcPr>
          <w:p w14:paraId="0C813BD3" w14:textId="77777777" w:rsidR="000E61A5" w:rsidRPr="00215F99" w:rsidRDefault="000E61A5" w:rsidP="00717966">
            <w:pPr>
              <w:spacing w:after="0" w:line="240" w:lineRule="auto"/>
              <w:rPr>
                <w:rFonts w:eastAsia="Times New Roman" w:cstheme="minorHAnsi"/>
                <w:color w:val="455560"/>
                <w:sz w:val="17"/>
                <w:szCs w:val="17"/>
              </w:rPr>
            </w:pPr>
            <w:r w:rsidRPr="00215F99">
              <w:rPr>
                <w:rFonts w:eastAsia="Times New Roman" w:cstheme="minorHAnsi"/>
                <w:b/>
                <w:bCs/>
                <w:color w:val="455560"/>
                <w:sz w:val="17"/>
                <w:szCs w:val="17"/>
              </w:rPr>
              <w:t>C.1.5</w:t>
            </w:r>
            <w:r w:rsidRPr="00215F99">
              <w:rPr>
                <w:rFonts w:eastAsia="Times New Roman" w:cstheme="minorHAnsi"/>
                <w:color w:val="455560"/>
                <w:sz w:val="17"/>
                <w:szCs w:val="17"/>
              </w:rPr>
              <w:t xml:space="preserve"> Internationalisation of VET</w:t>
            </w:r>
          </w:p>
        </w:tc>
        <w:tc>
          <w:tcPr>
            <w:tcW w:w="709" w:type="dxa"/>
            <w:tcBorders>
              <w:top w:val="nil"/>
              <w:left w:val="nil"/>
              <w:bottom w:val="single" w:sz="4" w:space="0" w:color="BFBFBF"/>
              <w:right w:val="single" w:sz="4" w:space="0" w:color="BFBFBF"/>
            </w:tcBorders>
            <w:shd w:val="clear" w:color="000000" w:fill="F2F2F2"/>
            <w:noWrap/>
            <w:vAlign w:val="center"/>
            <w:hideMark/>
          </w:tcPr>
          <w:p w14:paraId="54E0BA15"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0" w:type="dxa"/>
            <w:tcBorders>
              <w:top w:val="nil"/>
              <w:left w:val="nil"/>
              <w:bottom w:val="single" w:sz="4" w:space="0" w:color="BFBFBF"/>
              <w:right w:val="single" w:sz="4" w:space="0" w:color="BFBFBF"/>
            </w:tcBorders>
            <w:shd w:val="clear" w:color="000000" w:fill="F2F2F2"/>
            <w:noWrap/>
            <w:vAlign w:val="center"/>
            <w:hideMark/>
          </w:tcPr>
          <w:p w14:paraId="4C4FACD1"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51" w:type="dxa"/>
            <w:tcBorders>
              <w:top w:val="nil"/>
              <w:left w:val="nil"/>
              <w:bottom w:val="single" w:sz="4" w:space="0" w:color="BFBFBF"/>
              <w:right w:val="single" w:sz="4" w:space="0" w:color="BFBFBF"/>
            </w:tcBorders>
            <w:shd w:val="clear" w:color="000000" w:fill="F2F2F2"/>
            <w:noWrap/>
            <w:vAlign w:val="center"/>
            <w:hideMark/>
          </w:tcPr>
          <w:p w14:paraId="27A5AB10"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48" w:type="dxa"/>
            <w:tcBorders>
              <w:top w:val="nil"/>
              <w:left w:val="nil"/>
              <w:bottom w:val="single" w:sz="4" w:space="0" w:color="BFBFBF"/>
              <w:right w:val="nil"/>
            </w:tcBorders>
            <w:shd w:val="clear" w:color="000000" w:fill="F2F2F2"/>
            <w:noWrap/>
            <w:vAlign w:val="center"/>
            <w:hideMark/>
          </w:tcPr>
          <w:p w14:paraId="19A05630" w14:textId="77777777" w:rsidR="000E61A5" w:rsidRPr="00215F99" w:rsidRDefault="000E61A5" w:rsidP="00717966">
            <w:pPr>
              <w:spacing w:after="0" w:line="240" w:lineRule="auto"/>
              <w:jc w:val="center"/>
              <w:rPr>
                <w:rFonts w:eastAsia="Times New Roman" w:cstheme="minorHAnsi"/>
                <w:b/>
                <w:bCs/>
                <w:color w:val="455560"/>
                <w:sz w:val="17"/>
                <w:szCs w:val="17"/>
              </w:rPr>
            </w:pPr>
          </w:p>
        </w:tc>
      </w:tr>
      <w:tr w:rsidR="000E61A5" w:rsidRPr="00215F99" w14:paraId="478BA0BF" w14:textId="77777777" w:rsidTr="00717966">
        <w:trPr>
          <w:trHeight w:val="300"/>
        </w:trPr>
        <w:tc>
          <w:tcPr>
            <w:tcW w:w="851" w:type="dxa"/>
            <w:vMerge/>
            <w:tcBorders>
              <w:top w:val="nil"/>
              <w:left w:val="nil"/>
              <w:bottom w:val="single" w:sz="4" w:space="0" w:color="BFBFBF"/>
              <w:right w:val="single" w:sz="4" w:space="0" w:color="BFBFBF"/>
            </w:tcBorders>
            <w:vAlign w:val="center"/>
            <w:hideMark/>
          </w:tcPr>
          <w:p w14:paraId="0F246B5A" w14:textId="77777777" w:rsidR="000E61A5" w:rsidRPr="00215F99" w:rsidRDefault="000E61A5" w:rsidP="00717966">
            <w:pPr>
              <w:spacing w:after="0" w:line="240" w:lineRule="auto"/>
              <w:rPr>
                <w:rFonts w:eastAsia="Times New Roman" w:cstheme="minorHAnsi"/>
                <w:b/>
                <w:bCs/>
                <w:color w:val="455560"/>
                <w:sz w:val="17"/>
                <w:szCs w:val="17"/>
              </w:rPr>
            </w:pPr>
          </w:p>
        </w:tc>
        <w:tc>
          <w:tcPr>
            <w:tcW w:w="1559" w:type="dxa"/>
            <w:vMerge w:val="restart"/>
            <w:tcBorders>
              <w:top w:val="nil"/>
              <w:left w:val="single" w:sz="4" w:space="0" w:color="BFBFBF"/>
              <w:bottom w:val="single" w:sz="4" w:space="0" w:color="BFBFBF"/>
              <w:right w:val="single" w:sz="4" w:space="0" w:color="BFBFBF"/>
            </w:tcBorders>
            <w:shd w:val="clear" w:color="000000" w:fill="F2F2F2"/>
            <w:noWrap/>
            <w:vAlign w:val="center"/>
            <w:hideMark/>
          </w:tcPr>
          <w:p w14:paraId="033725F4" w14:textId="77777777" w:rsidR="000E61A5" w:rsidRPr="00215F99" w:rsidRDefault="000E61A5" w:rsidP="00717966">
            <w:pPr>
              <w:spacing w:after="0" w:line="240" w:lineRule="auto"/>
              <w:rPr>
                <w:rFonts w:eastAsia="Times New Roman" w:cstheme="minorHAnsi"/>
                <w:b/>
                <w:bCs/>
                <w:color w:val="455560"/>
                <w:sz w:val="17"/>
                <w:szCs w:val="17"/>
              </w:rPr>
            </w:pPr>
            <w:r w:rsidRPr="00215F99">
              <w:rPr>
                <w:rFonts w:eastAsia="Times New Roman" w:cstheme="minorHAnsi"/>
                <w:b/>
                <w:bCs/>
                <w:color w:val="455560"/>
                <w:sz w:val="17"/>
                <w:szCs w:val="17"/>
              </w:rPr>
              <w:t xml:space="preserve">C.2 </w:t>
            </w:r>
            <w:r w:rsidRPr="00215F99">
              <w:rPr>
                <w:rFonts w:eastAsia="Times New Roman" w:cstheme="minorHAnsi"/>
                <w:color w:val="455560"/>
                <w:sz w:val="17"/>
                <w:szCs w:val="17"/>
              </w:rPr>
              <w:t>Resourcing</w:t>
            </w:r>
          </w:p>
        </w:tc>
        <w:tc>
          <w:tcPr>
            <w:tcW w:w="3402" w:type="dxa"/>
            <w:tcBorders>
              <w:top w:val="nil"/>
              <w:left w:val="nil"/>
              <w:bottom w:val="single" w:sz="4" w:space="0" w:color="BFBFBF"/>
              <w:right w:val="single" w:sz="4" w:space="0" w:color="BFBFBF"/>
            </w:tcBorders>
            <w:shd w:val="clear" w:color="000000" w:fill="F2F2F2"/>
            <w:noWrap/>
            <w:vAlign w:val="center"/>
            <w:hideMark/>
          </w:tcPr>
          <w:p w14:paraId="75B7B557" w14:textId="77777777" w:rsidR="000E61A5" w:rsidRPr="00215F99" w:rsidRDefault="000E61A5" w:rsidP="00717966">
            <w:pPr>
              <w:spacing w:after="0" w:line="240" w:lineRule="auto"/>
              <w:rPr>
                <w:rFonts w:eastAsia="Times New Roman" w:cstheme="minorHAnsi"/>
                <w:color w:val="455560"/>
                <w:sz w:val="17"/>
                <w:szCs w:val="17"/>
              </w:rPr>
            </w:pPr>
            <w:r w:rsidRPr="00215F99">
              <w:rPr>
                <w:rFonts w:eastAsia="Times New Roman" w:cstheme="minorHAnsi"/>
                <w:b/>
                <w:bCs/>
                <w:color w:val="455560"/>
                <w:sz w:val="17"/>
                <w:szCs w:val="17"/>
              </w:rPr>
              <w:t>C.2.1</w:t>
            </w:r>
            <w:r w:rsidRPr="00215F99">
              <w:rPr>
                <w:rFonts w:eastAsia="Times New Roman" w:cstheme="minorHAnsi"/>
                <w:color w:val="455560"/>
                <w:sz w:val="17"/>
                <w:szCs w:val="17"/>
              </w:rPr>
              <w:t xml:space="preserve"> Financial resources</w:t>
            </w:r>
          </w:p>
        </w:tc>
        <w:tc>
          <w:tcPr>
            <w:tcW w:w="709" w:type="dxa"/>
            <w:tcBorders>
              <w:top w:val="nil"/>
              <w:left w:val="nil"/>
              <w:bottom w:val="single" w:sz="4" w:space="0" w:color="BFBFBF"/>
              <w:right w:val="single" w:sz="4" w:space="0" w:color="BFBFBF"/>
            </w:tcBorders>
            <w:shd w:val="clear" w:color="000000" w:fill="F2F2F2"/>
            <w:noWrap/>
            <w:vAlign w:val="center"/>
            <w:hideMark/>
          </w:tcPr>
          <w:p w14:paraId="23B4B130"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0" w:type="dxa"/>
            <w:tcBorders>
              <w:top w:val="nil"/>
              <w:left w:val="nil"/>
              <w:bottom w:val="single" w:sz="4" w:space="0" w:color="BFBFBF"/>
              <w:right w:val="single" w:sz="4" w:space="0" w:color="BFBFBF"/>
            </w:tcBorders>
            <w:shd w:val="clear" w:color="000000" w:fill="F2F2F2"/>
            <w:noWrap/>
            <w:vAlign w:val="center"/>
            <w:hideMark/>
          </w:tcPr>
          <w:p w14:paraId="65FE3C1A"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51" w:type="dxa"/>
            <w:tcBorders>
              <w:top w:val="nil"/>
              <w:left w:val="nil"/>
              <w:bottom w:val="single" w:sz="4" w:space="0" w:color="BFBFBF"/>
              <w:right w:val="single" w:sz="4" w:space="0" w:color="BFBFBF"/>
            </w:tcBorders>
            <w:shd w:val="clear" w:color="000000" w:fill="F2F2F2"/>
            <w:noWrap/>
            <w:vAlign w:val="center"/>
            <w:hideMark/>
          </w:tcPr>
          <w:p w14:paraId="65549E17"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48" w:type="dxa"/>
            <w:tcBorders>
              <w:top w:val="nil"/>
              <w:left w:val="nil"/>
              <w:bottom w:val="single" w:sz="4" w:space="0" w:color="BFBFBF"/>
              <w:right w:val="nil"/>
            </w:tcBorders>
            <w:shd w:val="clear" w:color="000000" w:fill="F2F2F2"/>
            <w:noWrap/>
            <w:vAlign w:val="center"/>
            <w:hideMark/>
          </w:tcPr>
          <w:p w14:paraId="7A41C0BA" w14:textId="77777777" w:rsidR="000E61A5" w:rsidRPr="00215F99" w:rsidRDefault="000E61A5" w:rsidP="00717966">
            <w:pPr>
              <w:spacing w:after="0" w:line="240" w:lineRule="auto"/>
              <w:jc w:val="center"/>
              <w:rPr>
                <w:rFonts w:eastAsia="Times New Roman" w:cstheme="minorHAnsi"/>
                <w:b/>
                <w:bCs/>
                <w:color w:val="455560"/>
                <w:sz w:val="17"/>
                <w:szCs w:val="17"/>
              </w:rPr>
            </w:pPr>
          </w:p>
        </w:tc>
      </w:tr>
      <w:tr w:rsidR="000E61A5" w:rsidRPr="00215F99" w14:paraId="6C7D6535" w14:textId="77777777" w:rsidTr="00717966">
        <w:trPr>
          <w:trHeight w:val="300"/>
        </w:trPr>
        <w:tc>
          <w:tcPr>
            <w:tcW w:w="851" w:type="dxa"/>
            <w:vMerge/>
            <w:tcBorders>
              <w:top w:val="nil"/>
              <w:left w:val="nil"/>
              <w:bottom w:val="single" w:sz="4" w:space="0" w:color="BFBFBF"/>
              <w:right w:val="single" w:sz="4" w:space="0" w:color="BFBFBF"/>
            </w:tcBorders>
            <w:vAlign w:val="center"/>
            <w:hideMark/>
          </w:tcPr>
          <w:p w14:paraId="52A29EEB" w14:textId="77777777" w:rsidR="000E61A5" w:rsidRPr="00215F99" w:rsidRDefault="000E61A5" w:rsidP="00717966">
            <w:pPr>
              <w:spacing w:after="0" w:line="240" w:lineRule="auto"/>
              <w:rPr>
                <w:rFonts w:eastAsia="Times New Roman" w:cstheme="minorHAnsi"/>
                <w:b/>
                <w:bCs/>
                <w:color w:val="455560"/>
                <w:sz w:val="17"/>
                <w:szCs w:val="17"/>
              </w:rPr>
            </w:pPr>
          </w:p>
        </w:tc>
        <w:tc>
          <w:tcPr>
            <w:tcW w:w="1559" w:type="dxa"/>
            <w:vMerge/>
            <w:tcBorders>
              <w:top w:val="nil"/>
              <w:left w:val="single" w:sz="4" w:space="0" w:color="BFBFBF"/>
              <w:bottom w:val="single" w:sz="4" w:space="0" w:color="BFBFBF"/>
              <w:right w:val="single" w:sz="4" w:space="0" w:color="BFBFBF"/>
            </w:tcBorders>
            <w:vAlign w:val="center"/>
            <w:hideMark/>
          </w:tcPr>
          <w:p w14:paraId="43B78DEA" w14:textId="77777777" w:rsidR="000E61A5" w:rsidRPr="00215F99" w:rsidRDefault="000E61A5" w:rsidP="00717966">
            <w:pPr>
              <w:spacing w:after="0" w:line="240" w:lineRule="auto"/>
              <w:rPr>
                <w:rFonts w:eastAsia="Times New Roman" w:cstheme="minorHAnsi"/>
                <w:b/>
                <w:bCs/>
                <w:color w:val="455560"/>
                <w:sz w:val="17"/>
                <w:szCs w:val="17"/>
              </w:rPr>
            </w:pPr>
          </w:p>
        </w:tc>
        <w:tc>
          <w:tcPr>
            <w:tcW w:w="3402" w:type="dxa"/>
            <w:tcBorders>
              <w:top w:val="nil"/>
              <w:left w:val="nil"/>
              <w:bottom w:val="single" w:sz="4" w:space="0" w:color="BFBFBF"/>
              <w:right w:val="single" w:sz="4" w:space="0" w:color="BFBFBF"/>
            </w:tcBorders>
            <w:shd w:val="clear" w:color="000000" w:fill="F2F2F2"/>
            <w:noWrap/>
            <w:vAlign w:val="center"/>
            <w:hideMark/>
          </w:tcPr>
          <w:p w14:paraId="73CC1D1A" w14:textId="77777777" w:rsidR="000E61A5" w:rsidRPr="00215F99" w:rsidRDefault="000E61A5" w:rsidP="00717966">
            <w:pPr>
              <w:spacing w:after="0" w:line="240" w:lineRule="auto"/>
              <w:rPr>
                <w:rFonts w:eastAsia="Times New Roman" w:cstheme="minorHAnsi"/>
                <w:color w:val="455560"/>
                <w:sz w:val="17"/>
                <w:szCs w:val="17"/>
              </w:rPr>
            </w:pPr>
            <w:r w:rsidRPr="00215F99">
              <w:rPr>
                <w:rFonts w:eastAsia="Times New Roman" w:cstheme="minorHAnsi"/>
                <w:b/>
                <w:bCs/>
                <w:color w:val="455560"/>
                <w:sz w:val="17"/>
                <w:szCs w:val="17"/>
              </w:rPr>
              <w:t>C.2.2</w:t>
            </w:r>
            <w:r w:rsidRPr="00215F99">
              <w:rPr>
                <w:rFonts w:eastAsia="Times New Roman" w:cstheme="minorHAnsi"/>
                <w:color w:val="455560"/>
                <w:sz w:val="17"/>
                <w:szCs w:val="17"/>
              </w:rPr>
              <w:t xml:space="preserve"> Human resources</w:t>
            </w:r>
          </w:p>
        </w:tc>
        <w:tc>
          <w:tcPr>
            <w:tcW w:w="709" w:type="dxa"/>
            <w:tcBorders>
              <w:top w:val="nil"/>
              <w:left w:val="nil"/>
              <w:bottom w:val="single" w:sz="4" w:space="0" w:color="BFBFBF"/>
              <w:right w:val="single" w:sz="4" w:space="0" w:color="BFBFBF"/>
            </w:tcBorders>
            <w:shd w:val="clear" w:color="000000" w:fill="F2F2F2"/>
            <w:noWrap/>
            <w:vAlign w:val="center"/>
            <w:hideMark/>
          </w:tcPr>
          <w:p w14:paraId="78855924"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0" w:type="dxa"/>
            <w:tcBorders>
              <w:top w:val="nil"/>
              <w:left w:val="nil"/>
              <w:bottom w:val="single" w:sz="4" w:space="0" w:color="BFBFBF"/>
              <w:right w:val="single" w:sz="4" w:space="0" w:color="BFBFBF"/>
            </w:tcBorders>
            <w:shd w:val="clear" w:color="000000" w:fill="F2F2F2"/>
            <w:noWrap/>
            <w:vAlign w:val="center"/>
            <w:hideMark/>
          </w:tcPr>
          <w:p w14:paraId="2EB9AD18"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51" w:type="dxa"/>
            <w:tcBorders>
              <w:top w:val="nil"/>
              <w:left w:val="nil"/>
              <w:bottom w:val="single" w:sz="4" w:space="0" w:color="BFBFBF"/>
              <w:right w:val="single" w:sz="4" w:space="0" w:color="BFBFBF"/>
            </w:tcBorders>
            <w:shd w:val="clear" w:color="000000" w:fill="F2F2F2"/>
            <w:noWrap/>
            <w:vAlign w:val="center"/>
            <w:hideMark/>
          </w:tcPr>
          <w:p w14:paraId="243244AB"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48" w:type="dxa"/>
            <w:tcBorders>
              <w:top w:val="nil"/>
              <w:left w:val="nil"/>
              <w:bottom w:val="single" w:sz="4" w:space="0" w:color="BFBFBF"/>
              <w:right w:val="nil"/>
            </w:tcBorders>
            <w:shd w:val="clear" w:color="000000" w:fill="F2F2F2"/>
            <w:noWrap/>
            <w:vAlign w:val="center"/>
            <w:hideMark/>
          </w:tcPr>
          <w:p w14:paraId="37810A85" w14:textId="77777777" w:rsidR="000E61A5" w:rsidRPr="00215F99" w:rsidRDefault="000E61A5" w:rsidP="00717966">
            <w:pPr>
              <w:spacing w:after="0" w:line="240" w:lineRule="auto"/>
              <w:jc w:val="center"/>
              <w:rPr>
                <w:rFonts w:eastAsia="Times New Roman" w:cstheme="minorHAnsi"/>
                <w:b/>
                <w:bCs/>
                <w:color w:val="455560"/>
                <w:sz w:val="17"/>
                <w:szCs w:val="17"/>
              </w:rPr>
            </w:pPr>
          </w:p>
        </w:tc>
      </w:tr>
      <w:tr w:rsidR="000E61A5" w:rsidRPr="00215F99" w14:paraId="75BD5933" w14:textId="77777777" w:rsidTr="00717966">
        <w:trPr>
          <w:trHeight w:val="300"/>
        </w:trPr>
        <w:tc>
          <w:tcPr>
            <w:tcW w:w="851" w:type="dxa"/>
            <w:vMerge/>
            <w:tcBorders>
              <w:top w:val="nil"/>
              <w:left w:val="nil"/>
              <w:bottom w:val="single" w:sz="12" w:space="0" w:color="0092BB" w:themeColor="text2"/>
              <w:right w:val="single" w:sz="4" w:space="0" w:color="BFBFBF"/>
            </w:tcBorders>
            <w:vAlign w:val="center"/>
            <w:hideMark/>
          </w:tcPr>
          <w:p w14:paraId="21A09ABE" w14:textId="77777777" w:rsidR="000E61A5" w:rsidRPr="00215F99" w:rsidRDefault="000E61A5" w:rsidP="00717966">
            <w:pPr>
              <w:spacing w:after="0" w:line="240" w:lineRule="auto"/>
              <w:rPr>
                <w:rFonts w:eastAsia="Times New Roman" w:cstheme="minorHAnsi"/>
                <w:b/>
                <w:bCs/>
                <w:color w:val="455560"/>
                <w:sz w:val="17"/>
                <w:szCs w:val="17"/>
              </w:rPr>
            </w:pPr>
          </w:p>
        </w:tc>
        <w:tc>
          <w:tcPr>
            <w:tcW w:w="1559" w:type="dxa"/>
            <w:vMerge/>
            <w:tcBorders>
              <w:top w:val="nil"/>
              <w:left w:val="single" w:sz="4" w:space="0" w:color="BFBFBF"/>
              <w:bottom w:val="single" w:sz="12" w:space="0" w:color="0092BB" w:themeColor="text2"/>
              <w:right w:val="single" w:sz="4" w:space="0" w:color="BFBFBF"/>
            </w:tcBorders>
            <w:vAlign w:val="center"/>
            <w:hideMark/>
          </w:tcPr>
          <w:p w14:paraId="295D217F" w14:textId="77777777" w:rsidR="000E61A5" w:rsidRPr="00215F99" w:rsidRDefault="000E61A5" w:rsidP="00717966">
            <w:pPr>
              <w:spacing w:after="0" w:line="240" w:lineRule="auto"/>
              <w:rPr>
                <w:rFonts w:eastAsia="Times New Roman" w:cstheme="minorHAnsi"/>
                <w:b/>
                <w:bCs/>
                <w:color w:val="455560"/>
                <w:sz w:val="17"/>
                <w:szCs w:val="17"/>
              </w:rPr>
            </w:pPr>
          </w:p>
        </w:tc>
        <w:tc>
          <w:tcPr>
            <w:tcW w:w="3402" w:type="dxa"/>
            <w:tcBorders>
              <w:top w:val="nil"/>
              <w:left w:val="nil"/>
              <w:bottom w:val="single" w:sz="12" w:space="0" w:color="0092BB" w:themeColor="text2"/>
              <w:right w:val="single" w:sz="4" w:space="0" w:color="BFBFBF"/>
            </w:tcBorders>
            <w:shd w:val="clear" w:color="000000" w:fill="F2F2F2"/>
            <w:noWrap/>
            <w:vAlign w:val="center"/>
            <w:hideMark/>
          </w:tcPr>
          <w:p w14:paraId="74DAE0FF" w14:textId="77777777" w:rsidR="000E61A5" w:rsidRPr="00215F99" w:rsidRDefault="000E61A5" w:rsidP="00717966">
            <w:pPr>
              <w:spacing w:after="0" w:line="240" w:lineRule="auto"/>
              <w:rPr>
                <w:rFonts w:eastAsia="Times New Roman" w:cstheme="minorHAnsi"/>
                <w:color w:val="455560"/>
                <w:sz w:val="17"/>
                <w:szCs w:val="17"/>
              </w:rPr>
            </w:pPr>
            <w:r w:rsidRPr="00215F99">
              <w:rPr>
                <w:rFonts w:eastAsia="Times New Roman" w:cstheme="minorHAnsi"/>
                <w:b/>
                <w:bCs/>
                <w:color w:val="455560"/>
                <w:sz w:val="17"/>
                <w:szCs w:val="17"/>
              </w:rPr>
              <w:t>C.2.3</w:t>
            </w:r>
            <w:r w:rsidRPr="00215F99">
              <w:rPr>
                <w:rFonts w:eastAsia="Times New Roman" w:cstheme="minorHAnsi"/>
                <w:color w:val="455560"/>
                <w:sz w:val="17"/>
                <w:szCs w:val="17"/>
              </w:rPr>
              <w:t xml:space="preserve"> Material base</w:t>
            </w:r>
          </w:p>
        </w:tc>
        <w:tc>
          <w:tcPr>
            <w:tcW w:w="709" w:type="dxa"/>
            <w:tcBorders>
              <w:top w:val="nil"/>
              <w:left w:val="nil"/>
              <w:bottom w:val="single" w:sz="12" w:space="0" w:color="0092BB" w:themeColor="text2"/>
              <w:right w:val="single" w:sz="4" w:space="0" w:color="BFBFBF"/>
            </w:tcBorders>
            <w:shd w:val="clear" w:color="000000" w:fill="F2F2F2"/>
            <w:noWrap/>
            <w:vAlign w:val="center"/>
            <w:hideMark/>
          </w:tcPr>
          <w:p w14:paraId="0BF68B01" w14:textId="77777777" w:rsidR="000E61A5" w:rsidRPr="00215F99" w:rsidRDefault="000E61A5" w:rsidP="00717966">
            <w:pPr>
              <w:spacing w:after="0" w:line="240" w:lineRule="auto"/>
              <w:jc w:val="center"/>
              <w:rPr>
                <w:rFonts w:eastAsia="Times New Roman" w:cstheme="minorHAnsi"/>
                <w:color w:val="455560"/>
                <w:sz w:val="17"/>
                <w:szCs w:val="17"/>
              </w:rPr>
            </w:pPr>
            <w:r w:rsidRPr="00215F99">
              <w:rPr>
                <w:rFonts w:eastAsia="Times New Roman" w:cstheme="minorHAnsi"/>
                <w:color w:val="455560"/>
                <w:sz w:val="17"/>
                <w:szCs w:val="17"/>
              </w:rPr>
              <w:t>X</w:t>
            </w:r>
          </w:p>
        </w:tc>
        <w:tc>
          <w:tcPr>
            <w:tcW w:w="850" w:type="dxa"/>
            <w:tcBorders>
              <w:top w:val="nil"/>
              <w:left w:val="nil"/>
              <w:bottom w:val="single" w:sz="12" w:space="0" w:color="0092BB" w:themeColor="text2"/>
              <w:right w:val="single" w:sz="4" w:space="0" w:color="BFBFBF"/>
            </w:tcBorders>
            <w:shd w:val="clear" w:color="000000" w:fill="F2F2F2"/>
            <w:noWrap/>
            <w:vAlign w:val="center"/>
            <w:hideMark/>
          </w:tcPr>
          <w:p w14:paraId="0C3F5C4A"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51" w:type="dxa"/>
            <w:tcBorders>
              <w:top w:val="nil"/>
              <w:left w:val="nil"/>
              <w:bottom w:val="single" w:sz="12" w:space="0" w:color="0092BB" w:themeColor="text2"/>
              <w:right w:val="single" w:sz="4" w:space="0" w:color="BFBFBF"/>
            </w:tcBorders>
            <w:shd w:val="clear" w:color="000000" w:fill="F2F2F2"/>
            <w:noWrap/>
            <w:vAlign w:val="center"/>
            <w:hideMark/>
          </w:tcPr>
          <w:p w14:paraId="75C43BD3" w14:textId="77777777" w:rsidR="000E61A5" w:rsidRPr="00215F99" w:rsidRDefault="000E61A5" w:rsidP="00717966">
            <w:pPr>
              <w:spacing w:after="0" w:line="240" w:lineRule="auto"/>
              <w:jc w:val="center"/>
              <w:rPr>
                <w:rFonts w:eastAsia="Times New Roman" w:cstheme="minorHAnsi"/>
                <w:b/>
                <w:bCs/>
                <w:color w:val="455560"/>
                <w:sz w:val="17"/>
                <w:szCs w:val="17"/>
              </w:rPr>
            </w:pPr>
          </w:p>
        </w:tc>
        <w:tc>
          <w:tcPr>
            <w:tcW w:w="848" w:type="dxa"/>
            <w:tcBorders>
              <w:top w:val="nil"/>
              <w:left w:val="nil"/>
              <w:bottom w:val="single" w:sz="12" w:space="0" w:color="0092BB" w:themeColor="text2"/>
              <w:right w:val="nil"/>
            </w:tcBorders>
            <w:shd w:val="clear" w:color="000000" w:fill="F2F2F2"/>
            <w:noWrap/>
            <w:vAlign w:val="center"/>
            <w:hideMark/>
          </w:tcPr>
          <w:p w14:paraId="04380FA8" w14:textId="77777777" w:rsidR="000E61A5" w:rsidRPr="00215F99" w:rsidRDefault="000E61A5" w:rsidP="00717966">
            <w:pPr>
              <w:spacing w:after="0" w:line="240" w:lineRule="auto"/>
              <w:jc w:val="center"/>
              <w:rPr>
                <w:rFonts w:eastAsia="Times New Roman" w:cstheme="minorHAnsi"/>
                <w:b/>
                <w:bCs/>
                <w:color w:val="455560"/>
                <w:sz w:val="17"/>
                <w:szCs w:val="17"/>
              </w:rPr>
            </w:pPr>
          </w:p>
        </w:tc>
      </w:tr>
    </w:tbl>
    <w:p w14:paraId="7C13EA11" w14:textId="77777777" w:rsidR="000E61A5" w:rsidRPr="00215F99" w:rsidRDefault="000E61A5" w:rsidP="000E61A5">
      <w:pPr>
        <w:pStyle w:val="Heading2"/>
      </w:pPr>
      <w:bookmarkStart w:id="20" w:name="_Toc198827570"/>
      <w:r w:rsidRPr="00215F99">
        <w:t>Evidence and data sources</w:t>
      </w:r>
      <w:bookmarkEnd w:id="20"/>
    </w:p>
    <w:p w14:paraId="230787C9" w14:textId="77777777" w:rsidR="000E61A5" w:rsidRPr="00215F99" w:rsidRDefault="000E61A5" w:rsidP="000E61A5">
      <w:pPr>
        <w:pStyle w:val="BodyText"/>
      </w:pPr>
      <w:r w:rsidRPr="00215F99">
        <w:t>In the context of Torino Process monitoring, performance is measured using a system performance index (SPI). This index is calculated for each of the 32 monitoring targets (MTs): 19 core SPIs (one per outcome – MT1) and 13 supplementary SPIs (MT2–4). SPI scores range from 0 to 100, with 100 representing maximum or best performance.</w:t>
      </w:r>
    </w:p>
    <w:p w14:paraId="72F0FC5D" w14:textId="77777777" w:rsidR="000E61A5" w:rsidRPr="00215F99" w:rsidRDefault="000E61A5" w:rsidP="000E61A5">
      <w:pPr>
        <w:pStyle w:val="BodyText"/>
      </w:pPr>
      <w:r w:rsidRPr="00215F99">
        <w:t>Each SPI is derived from multiple quantitative indicators in the ETF database of key indicators on education, skills, and employment (KIESE), most of which originate from international sources such as UNESCO, Eurostat and the OECD. The ETF groups conceptually coherent indicators to build each SPI.</w:t>
      </w:r>
    </w:p>
    <w:p w14:paraId="220E6D87" w14:textId="77777777" w:rsidR="000E61A5" w:rsidRPr="00215F99" w:rsidRDefault="000E61A5" w:rsidP="000E61A5">
      <w:pPr>
        <w:pStyle w:val="BodyText"/>
      </w:pPr>
      <w:r w:rsidRPr="00215F99">
        <w:lastRenderedPageBreak/>
        <w:t xml:space="preserve">Typically, several indicators are used for every monitoring target/SPI, each selected for its ability to track a different aspect of that target. Using a set of indicators for the calculation of each SPI is essential because the Torino Process outcomes are complex, and a single metric cannot capture performance across diverse populations and country settings. </w:t>
      </w:r>
    </w:p>
    <w:p w14:paraId="1E8CA3B2" w14:textId="77777777" w:rsidR="000E61A5" w:rsidRPr="00215F99" w:rsidRDefault="000E61A5" w:rsidP="000E61A5">
      <w:pPr>
        <w:pStyle w:val="BodyText"/>
      </w:pPr>
      <w:r w:rsidRPr="00215F99">
        <w:t>As the underlying policy outcomes cannot be measured directly, these carefully chosen KIESE SPI indicators thus serve as high-quality proxies, offering the best available quantitative approximation of what systems actually deliver.</w:t>
      </w:r>
    </w:p>
    <w:p w14:paraId="14709A5D" w14:textId="77777777" w:rsidR="000E61A5" w:rsidRPr="00215F99" w:rsidRDefault="000E61A5" w:rsidP="000E61A5">
      <w:pPr>
        <w:pStyle w:val="BodyText"/>
      </w:pPr>
      <w:r w:rsidRPr="00215F99">
        <w:t>Table 5 provides an overview of the quantitative indicators used in the Torino Process framework in 2024, grouped by source.</w:t>
      </w:r>
    </w:p>
    <w:p w14:paraId="3EDEAC30" w14:textId="77777777" w:rsidR="000E61A5" w:rsidRPr="00215F99" w:rsidRDefault="000E61A5" w:rsidP="000E61A5">
      <w:pPr>
        <w:pStyle w:val="TableTitle"/>
      </w:pPr>
      <w:r w:rsidRPr="00215F99">
        <w:t>Table 5. Provenience of KIESE SPI indicators in 2025 – Torino Process monitoring</w:t>
      </w:r>
    </w:p>
    <w:tbl>
      <w:tblPr>
        <w:tblStyle w:val="ETF2021"/>
        <w:tblW w:w="9072" w:type="dxa"/>
        <w:tblLayout w:type="fixed"/>
        <w:tblLook w:val="04A0" w:firstRow="1" w:lastRow="0" w:firstColumn="1" w:lastColumn="0" w:noHBand="0" w:noVBand="1"/>
      </w:tblPr>
      <w:tblGrid>
        <w:gridCol w:w="3261"/>
        <w:gridCol w:w="5811"/>
      </w:tblGrid>
      <w:tr w:rsidR="000E61A5" w:rsidRPr="00215F99" w14:paraId="10935C09" w14:textId="77777777" w:rsidTr="00717966">
        <w:trPr>
          <w:cnfStyle w:val="100000000000" w:firstRow="1" w:lastRow="0" w:firstColumn="0" w:lastColumn="0" w:oddVBand="0" w:evenVBand="0" w:oddHBand="0" w:evenHBand="0" w:firstRowFirstColumn="0" w:firstRowLastColumn="0" w:lastRowFirstColumn="0" w:lastRowLastColumn="0"/>
          <w:trHeight w:val="112"/>
          <w:tblHeader/>
        </w:trPr>
        <w:tc>
          <w:tcPr>
            <w:tcW w:w="3261" w:type="dxa"/>
            <w:noWrap/>
            <w:hideMark/>
          </w:tcPr>
          <w:p w14:paraId="7F80956F" w14:textId="77777777" w:rsidR="000E61A5" w:rsidRPr="00215F99" w:rsidRDefault="000E61A5" w:rsidP="00717966">
            <w:pPr>
              <w:pStyle w:val="TableHeading"/>
            </w:pPr>
            <w:r w:rsidRPr="00215F99">
              <w:t>Data repository</w:t>
            </w:r>
          </w:p>
        </w:tc>
        <w:tc>
          <w:tcPr>
            <w:tcW w:w="5811" w:type="dxa"/>
            <w:noWrap/>
            <w:hideMark/>
          </w:tcPr>
          <w:p w14:paraId="02F1C807" w14:textId="77777777" w:rsidR="000E61A5" w:rsidRPr="00215F99" w:rsidRDefault="000E61A5" w:rsidP="00717966">
            <w:pPr>
              <w:pStyle w:val="TableHeading"/>
            </w:pPr>
            <w:r w:rsidRPr="00215F99">
              <w:t>No. of indicators</w:t>
            </w:r>
          </w:p>
        </w:tc>
      </w:tr>
      <w:tr w:rsidR="000E61A5" w:rsidRPr="00215F99" w14:paraId="3E31838E" w14:textId="77777777" w:rsidTr="00717966">
        <w:trPr>
          <w:trHeight w:val="204"/>
        </w:trPr>
        <w:tc>
          <w:tcPr>
            <w:tcW w:w="3261" w:type="dxa"/>
            <w:noWrap/>
            <w:hideMark/>
          </w:tcPr>
          <w:p w14:paraId="003E6E30" w14:textId="77777777" w:rsidR="000E61A5" w:rsidRPr="00215F99" w:rsidRDefault="000E61A5" w:rsidP="00717966">
            <w:pPr>
              <w:pStyle w:val="TableFirstColumn"/>
            </w:pPr>
            <w:r w:rsidRPr="00215F99">
              <w:t>OECD PISA</w:t>
            </w:r>
          </w:p>
        </w:tc>
        <w:tc>
          <w:tcPr>
            <w:tcW w:w="5811" w:type="dxa"/>
            <w:noWrap/>
            <w:hideMark/>
          </w:tcPr>
          <w:p w14:paraId="7615D24B" w14:textId="77777777" w:rsidR="000E61A5" w:rsidRPr="00215F99" w:rsidRDefault="000E61A5" w:rsidP="00717966">
            <w:pPr>
              <w:pStyle w:val="TableText"/>
            </w:pPr>
            <w:r w:rsidRPr="00215F99">
              <w:t>45</w:t>
            </w:r>
          </w:p>
        </w:tc>
      </w:tr>
      <w:tr w:rsidR="000E61A5" w:rsidRPr="00215F99" w14:paraId="3E554333" w14:textId="77777777" w:rsidTr="00717966">
        <w:trPr>
          <w:trHeight w:val="114"/>
        </w:trPr>
        <w:tc>
          <w:tcPr>
            <w:tcW w:w="3261" w:type="dxa"/>
            <w:noWrap/>
            <w:hideMark/>
          </w:tcPr>
          <w:p w14:paraId="0C90ADA4" w14:textId="77777777" w:rsidR="000E61A5" w:rsidRPr="00215F99" w:rsidRDefault="000E61A5" w:rsidP="00717966">
            <w:pPr>
              <w:pStyle w:val="TableFirstColumn"/>
            </w:pPr>
            <w:r w:rsidRPr="00215F99">
              <w:t>UNESCO UIS</w:t>
            </w:r>
          </w:p>
        </w:tc>
        <w:tc>
          <w:tcPr>
            <w:tcW w:w="5811" w:type="dxa"/>
            <w:noWrap/>
            <w:hideMark/>
          </w:tcPr>
          <w:p w14:paraId="256211E5" w14:textId="77777777" w:rsidR="000E61A5" w:rsidRPr="00215F99" w:rsidRDefault="000E61A5" w:rsidP="00717966">
            <w:pPr>
              <w:pStyle w:val="TableText"/>
            </w:pPr>
            <w:r w:rsidRPr="00215F99">
              <w:t>33</w:t>
            </w:r>
          </w:p>
        </w:tc>
      </w:tr>
      <w:tr w:rsidR="000E61A5" w:rsidRPr="00215F99" w14:paraId="14571B64" w14:textId="77777777" w:rsidTr="00717966">
        <w:trPr>
          <w:trHeight w:val="17"/>
        </w:trPr>
        <w:tc>
          <w:tcPr>
            <w:tcW w:w="3261" w:type="dxa"/>
            <w:noWrap/>
            <w:hideMark/>
          </w:tcPr>
          <w:p w14:paraId="67FFE087" w14:textId="77777777" w:rsidR="000E61A5" w:rsidRPr="00215F99" w:rsidRDefault="000E61A5" w:rsidP="00717966">
            <w:pPr>
              <w:pStyle w:val="TableFirstColumn"/>
            </w:pPr>
            <w:r w:rsidRPr="00215F99">
              <w:t>Eurostat</w:t>
            </w:r>
          </w:p>
        </w:tc>
        <w:tc>
          <w:tcPr>
            <w:tcW w:w="5811" w:type="dxa"/>
            <w:noWrap/>
            <w:hideMark/>
          </w:tcPr>
          <w:p w14:paraId="5E55958D" w14:textId="77777777" w:rsidR="000E61A5" w:rsidRPr="00215F99" w:rsidRDefault="000E61A5" w:rsidP="00717966">
            <w:pPr>
              <w:pStyle w:val="TableText"/>
            </w:pPr>
            <w:r w:rsidRPr="00215F99">
              <w:t>24</w:t>
            </w:r>
          </w:p>
        </w:tc>
      </w:tr>
      <w:tr w:rsidR="000E61A5" w:rsidRPr="00215F99" w14:paraId="0D4E7617" w14:textId="77777777" w:rsidTr="00717966">
        <w:trPr>
          <w:trHeight w:val="42"/>
        </w:trPr>
        <w:tc>
          <w:tcPr>
            <w:tcW w:w="3261" w:type="dxa"/>
            <w:noWrap/>
            <w:hideMark/>
          </w:tcPr>
          <w:p w14:paraId="6CC284A5" w14:textId="77777777" w:rsidR="000E61A5" w:rsidRPr="00215F99" w:rsidRDefault="000E61A5" w:rsidP="00717966">
            <w:pPr>
              <w:pStyle w:val="TableFirstColumn"/>
            </w:pPr>
            <w:r w:rsidRPr="00215F99">
              <w:t>TIMSS</w:t>
            </w:r>
          </w:p>
        </w:tc>
        <w:tc>
          <w:tcPr>
            <w:tcW w:w="5811" w:type="dxa"/>
            <w:noWrap/>
            <w:hideMark/>
          </w:tcPr>
          <w:p w14:paraId="7D67AC6B" w14:textId="77777777" w:rsidR="000E61A5" w:rsidRPr="00215F99" w:rsidRDefault="000E61A5" w:rsidP="00717966">
            <w:pPr>
              <w:pStyle w:val="TableText"/>
            </w:pPr>
            <w:r w:rsidRPr="00215F99">
              <w:t>13</w:t>
            </w:r>
          </w:p>
        </w:tc>
      </w:tr>
      <w:tr w:rsidR="000E61A5" w:rsidRPr="00215F99" w14:paraId="5DFD6E4F" w14:textId="77777777" w:rsidTr="00717966">
        <w:trPr>
          <w:trHeight w:val="17"/>
        </w:trPr>
        <w:tc>
          <w:tcPr>
            <w:tcW w:w="3261" w:type="dxa"/>
            <w:noWrap/>
            <w:hideMark/>
          </w:tcPr>
          <w:p w14:paraId="16151584" w14:textId="77777777" w:rsidR="000E61A5" w:rsidRPr="00215F99" w:rsidRDefault="000E61A5" w:rsidP="00717966">
            <w:pPr>
              <w:pStyle w:val="TableFirstColumn"/>
            </w:pPr>
            <w:r w:rsidRPr="00215F99">
              <w:t>European social survey</w:t>
            </w:r>
          </w:p>
        </w:tc>
        <w:tc>
          <w:tcPr>
            <w:tcW w:w="5811" w:type="dxa"/>
            <w:noWrap/>
            <w:hideMark/>
          </w:tcPr>
          <w:p w14:paraId="41E73588" w14:textId="77777777" w:rsidR="000E61A5" w:rsidRPr="00215F99" w:rsidRDefault="000E61A5" w:rsidP="00717966">
            <w:pPr>
              <w:pStyle w:val="TableText"/>
            </w:pPr>
            <w:r w:rsidRPr="00215F99">
              <w:t>2</w:t>
            </w:r>
          </w:p>
        </w:tc>
      </w:tr>
      <w:tr w:rsidR="000E61A5" w:rsidRPr="00215F99" w14:paraId="2BAC9B1E" w14:textId="77777777" w:rsidTr="00717966">
        <w:trPr>
          <w:trHeight w:val="17"/>
        </w:trPr>
        <w:tc>
          <w:tcPr>
            <w:tcW w:w="3261" w:type="dxa"/>
            <w:noWrap/>
            <w:hideMark/>
          </w:tcPr>
          <w:p w14:paraId="5E7DA69D" w14:textId="77777777" w:rsidR="000E61A5" w:rsidRPr="00215F99" w:rsidRDefault="000E61A5" w:rsidP="00717966">
            <w:pPr>
              <w:pStyle w:val="TableFirstColumn"/>
            </w:pPr>
            <w:r w:rsidRPr="00215F99">
              <w:t>ILOSTAT</w:t>
            </w:r>
          </w:p>
        </w:tc>
        <w:tc>
          <w:tcPr>
            <w:tcW w:w="5811" w:type="dxa"/>
            <w:noWrap/>
            <w:hideMark/>
          </w:tcPr>
          <w:p w14:paraId="156DADAE" w14:textId="77777777" w:rsidR="000E61A5" w:rsidRPr="00215F99" w:rsidRDefault="000E61A5" w:rsidP="00717966">
            <w:pPr>
              <w:pStyle w:val="TableText"/>
            </w:pPr>
            <w:r w:rsidRPr="00215F99">
              <w:t>1</w:t>
            </w:r>
          </w:p>
        </w:tc>
      </w:tr>
      <w:tr w:rsidR="000E61A5" w:rsidRPr="00215F99" w14:paraId="222EBDAC" w14:textId="77777777" w:rsidTr="00717966">
        <w:trPr>
          <w:trHeight w:val="17"/>
        </w:trPr>
        <w:tc>
          <w:tcPr>
            <w:tcW w:w="3261" w:type="dxa"/>
            <w:noWrap/>
            <w:hideMark/>
          </w:tcPr>
          <w:p w14:paraId="17C79C80" w14:textId="77777777" w:rsidR="000E61A5" w:rsidRPr="00215F99" w:rsidRDefault="000E61A5" w:rsidP="00717966">
            <w:pPr>
              <w:pStyle w:val="TableFirstColumn"/>
            </w:pPr>
            <w:r w:rsidRPr="00215F99">
              <w:t>National PES</w:t>
            </w:r>
          </w:p>
        </w:tc>
        <w:tc>
          <w:tcPr>
            <w:tcW w:w="5811" w:type="dxa"/>
            <w:noWrap/>
            <w:hideMark/>
          </w:tcPr>
          <w:p w14:paraId="5FCBA2BB" w14:textId="77777777" w:rsidR="000E61A5" w:rsidRPr="00215F99" w:rsidRDefault="000E61A5" w:rsidP="00717966">
            <w:pPr>
              <w:pStyle w:val="TableText"/>
            </w:pPr>
            <w:r w:rsidRPr="00215F99">
              <w:t>1</w:t>
            </w:r>
          </w:p>
        </w:tc>
      </w:tr>
      <w:tr w:rsidR="000E61A5" w:rsidRPr="00215F99" w14:paraId="13EBD717" w14:textId="77777777" w:rsidTr="00717966">
        <w:trPr>
          <w:trHeight w:val="17"/>
        </w:trPr>
        <w:tc>
          <w:tcPr>
            <w:tcW w:w="3261" w:type="dxa"/>
            <w:noWrap/>
          </w:tcPr>
          <w:p w14:paraId="762F2BE0" w14:textId="77777777" w:rsidR="000E61A5" w:rsidRPr="00215F99" w:rsidRDefault="000E61A5" w:rsidP="00717966">
            <w:pPr>
              <w:pStyle w:val="TableFirstColumn"/>
            </w:pPr>
            <w:r w:rsidRPr="00215F99">
              <w:t>Internal TRP calculation</w:t>
            </w:r>
          </w:p>
        </w:tc>
        <w:tc>
          <w:tcPr>
            <w:tcW w:w="5811" w:type="dxa"/>
            <w:noWrap/>
          </w:tcPr>
          <w:p w14:paraId="0AB319A7" w14:textId="77777777" w:rsidR="000E61A5" w:rsidRPr="00215F99" w:rsidRDefault="000E61A5" w:rsidP="00717966">
            <w:pPr>
              <w:pStyle w:val="TableText"/>
            </w:pPr>
            <w:r w:rsidRPr="00215F99">
              <w:t>1</w:t>
            </w:r>
          </w:p>
        </w:tc>
      </w:tr>
      <w:tr w:rsidR="000E61A5" w:rsidRPr="00215F99" w14:paraId="48B564D1" w14:textId="77777777" w:rsidTr="00717966">
        <w:trPr>
          <w:trHeight w:val="17"/>
        </w:trPr>
        <w:tc>
          <w:tcPr>
            <w:tcW w:w="3261" w:type="dxa"/>
            <w:noWrap/>
          </w:tcPr>
          <w:p w14:paraId="59A74267" w14:textId="77777777" w:rsidR="000E61A5" w:rsidRPr="00215F99" w:rsidRDefault="000E61A5" w:rsidP="00717966">
            <w:pPr>
              <w:pStyle w:val="TableFirstColumn"/>
              <w:rPr>
                <w:b/>
                <w:bCs w:val="0"/>
              </w:rPr>
            </w:pPr>
            <w:r w:rsidRPr="00215F99">
              <w:rPr>
                <w:b/>
                <w:bCs w:val="0"/>
              </w:rPr>
              <w:t>TOTAL</w:t>
            </w:r>
          </w:p>
        </w:tc>
        <w:tc>
          <w:tcPr>
            <w:tcW w:w="5811" w:type="dxa"/>
            <w:noWrap/>
          </w:tcPr>
          <w:p w14:paraId="00AB5A57" w14:textId="77777777" w:rsidR="000E61A5" w:rsidRPr="00215F99" w:rsidRDefault="000E61A5" w:rsidP="00717966">
            <w:pPr>
              <w:pStyle w:val="TableText"/>
              <w:rPr>
                <w:b/>
                <w:bCs/>
              </w:rPr>
            </w:pPr>
            <w:r w:rsidRPr="00215F99">
              <w:rPr>
                <w:b/>
                <w:bCs/>
              </w:rPr>
              <w:t>120</w:t>
            </w:r>
          </w:p>
        </w:tc>
      </w:tr>
    </w:tbl>
    <w:p w14:paraId="71E97C04" w14:textId="77777777" w:rsidR="000E61A5" w:rsidRPr="00215F99" w:rsidRDefault="000E61A5" w:rsidP="000E61A5">
      <w:pPr>
        <w:pStyle w:val="BodyText"/>
      </w:pPr>
    </w:p>
    <w:p w14:paraId="2547A5CF" w14:textId="77777777" w:rsidR="000E61A5" w:rsidRPr="00215F99" w:rsidRDefault="000E61A5" w:rsidP="000E61A5">
      <w:pPr>
        <w:pStyle w:val="BodyText"/>
      </w:pPr>
      <w:r w:rsidRPr="00215F99">
        <w:t xml:space="preserve">The full selection of KIESE indicators for 2025 can be found here </w:t>
      </w:r>
      <w:hyperlink r:id="rId11" w:history="1">
        <w:r w:rsidRPr="00215F99">
          <w:rPr>
            <w:rStyle w:val="Hyperlink"/>
          </w:rPr>
          <w:t>https://bit.ly/4j6taZW</w:t>
        </w:r>
      </w:hyperlink>
      <w:r w:rsidRPr="00215F99">
        <w:t xml:space="preserve">. The subset of KIESE indicators used for the calculation of the Torino Process SPIs in 2025 can be found here: </w:t>
      </w:r>
      <w:hyperlink r:id="rId12" w:history="1">
        <w:r w:rsidRPr="00215F99">
          <w:rPr>
            <w:rStyle w:val="Hyperlink"/>
          </w:rPr>
          <w:t>https://bit.ly/433OR8j</w:t>
        </w:r>
      </w:hyperlink>
      <w:r w:rsidRPr="00215F99">
        <w:t>.</w:t>
      </w:r>
    </w:p>
    <w:p w14:paraId="48B0AF85" w14:textId="77777777" w:rsidR="000E61A5" w:rsidRPr="00215F99" w:rsidRDefault="000E61A5" w:rsidP="000E61A5">
      <w:pPr>
        <w:pStyle w:val="BodyText"/>
      </w:pPr>
      <w:r w:rsidRPr="00215F99">
        <w:t xml:space="preserve">In addition to KIESE data, Torino Process monitoring relies on evidence collected through </w:t>
      </w:r>
      <w:r w:rsidRPr="00215F99">
        <w:rPr>
          <w:b/>
          <w:bCs/>
        </w:rPr>
        <w:t>structured country questionnaires</w:t>
      </w:r>
      <w:r w:rsidRPr="00215F99">
        <w:t xml:space="preserve">, designed as </w:t>
      </w:r>
      <w:r w:rsidRPr="00215F99">
        <w:rPr>
          <w:b/>
          <w:bCs/>
        </w:rPr>
        <w:t>expert surveys</w:t>
      </w:r>
      <w:r w:rsidRPr="00215F99">
        <w:t>. National experts use these questionnaires to provide contextual information and assess policy performance for each monitoring target on a scale from 1 (worst) to 5 (best). Their responses are provided independently, although consultation with national authorities may occur if needed.</w:t>
      </w:r>
    </w:p>
    <w:p w14:paraId="3D4A596F" w14:textId="77777777" w:rsidR="000E61A5" w:rsidRPr="00215F99" w:rsidRDefault="000E61A5" w:rsidP="000E61A5">
      <w:pPr>
        <w:pStyle w:val="BodyText"/>
      </w:pPr>
      <w:r w:rsidRPr="00215F99">
        <w:t>The expert survey approach serves two main purposes. First, it fills gaps in KIESE data, which enables SPI calculation even if quantitative indicators are incomplete or unavailable. Second, it provides qualitative insights that allow for a more nuanced and context-sensitive interpretation of SPI results. Each monitoring target corresponds to one questionnaire item, resulting in a total of 32 questions per country.</w:t>
      </w:r>
    </w:p>
    <w:p w14:paraId="6855C22D" w14:textId="77777777" w:rsidR="000E61A5" w:rsidRPr="00215F99" w:rsidRDefault="000E61A5" w:rsidP="000E61A5">
      <w:pPr>
        <w:pStyle w:val="BodyText"/>
      </w:pPr>
      <w:r w:rsidRPr="00215F99">
        <w:t>These questions are identical across countries to ensure consistency in the self-assessment process. Each question includes two mandatory components: a narrative explanation and a numerical self-assessment. Table 6 provides an example.</w:t>
      </w:r>
    </w:p>
    <w:p w14:paraId="02BB66D3" w14:textId="77777777" w:rsidR="009219A8" w:rsidRDefault="009219A8" w:rsidP="000E61A5">
      <w:pPr>
        <w:pStyle w:val="TableTitle"/>
      </w:pPr>
    </w:p>
    <w:p w14:paraId="5F1A0F78" w14:textId="77777777" w:rsidR="009219A8" w:rsidRDefault="009219A8" w:rsidP="000E61A5">
      <w:pPr>
        <w:pStyle w:val="TableTitle"/>
      </w:pPr>
    </w:p>
    <w:p w14:paraId="3D0723CC" w14:textId="1F56C6EC" w:rsidR="000E61A5" w:rsidRPr="00215F99" w:rsidRDefault="000E61A5" w:rsidP="000E61A5">
      <w:pPr>
        <w:pStyle w:val="TableTitle"/>
      </w:pPr>
      <w:r w:rsidRPr="00215F99">
        <w:lastRenderedPageBreak/>
        <w:t>Table 6. Sample of a qualitative monitoring question, Torino Process 2025</w:t>
      </w:r>
    </w:p>
    <w:p w14:paraId="55F50EB7" w14:textId="77777777" w:rsidR="000E61A5" w:rsidRPr="00215F99" w:rsidRDefault="000E61A5" w:rsidP="000E61A5">
      <w:pPr>
        <w:pStyle w:val="TableTitle"/>
        <w:spacing w:before="120"/>
        <w:rPr>
          <w:color w:val="auto"/>
        </w:rPr>
      </w:pPr>
      <w:r w:rsidRPr="00215F99">
        <w:rPr>
          <w:color w:val="auto"/>
        </w:rPr>
        <w:t>Question.A.1.1.MT1 (Outcome A.1.1, Monitoring Target 1)</w:t>
      </w:r>
    </w:p>
    <w:tbl>
      <w:tblPr>
        <w:tblStyle w:val="ETF2021"/>
        <w:tblW w:w="0" w:type="auto"/>
        <w:tblLook w:val="0400" w:firstRow="0" w:lastRow="0" w:firstColumn="0" w:lastColumn="0" w:noHBand="0" w:noVBand="1"/>
      </w:tblPr>
      <w:tblGrid>
        <w:gridCol w:w="1134"/>
        <w:gridCol w:w="3828"/>
        <w:gridCol w:w="3827"/>
      </w:tblGrid>
      <w:tr w:rsidR="000E61A5" w:rsidRPr="00215F99" w14:paraId="10C27675" w14:textId="77777777" w:rsidTr="00717966">
        <w:trPr>
          <w:trHeight w:val="429"/>
        </w:trPr>
        <w:tc>
          <w:tcPr>
            <w:tcW w:w="1134" w:type="dxa"/>
            <w:hideMark/>
          </w:tcPr>
          <w:p w14:paraId="354278DE" w14:textId="77777777" w:rsidR="000E61A5" w:rsidRPr="00215F99" w:rsidRDefault="000E61A5" w:rsidP="00717966">
            <w:pPr>
              <w:pStyle w:val="TableHeading"/>
            </w:pPr>
            <w:r w:rsidRPr="00215F99">
              <w:t>Outcome / Target</w:t>
            </w:r>
          </w:p>
        </w:tc>
        <w:tc>
          <w:tcPr>
            <w:tcW w:w="3828" w:type="dxa"/>
            <w:hideMark/>
          </w:tcPr>
          <w:p w14:paraId="5223B630" w14:textId="77777777" w:rsidR="000E61A5" w:rsidRPr="00215F99" w:rsidRDefault="000E61A5" w:rsidP="00717966">
            <w:pPr>
              <w:pStyle w:val="TableHeading"/>
            </w:pPr>
            <w:r w:rsidRPr="00215F99">
              <w:t>Part 1: Narrative component</w:t>
            </w:r>
          </w:p>
        </w:tc>
        <w:tc>
          <w:tcPr>
            <w:tcW w:w="3827" w:type="dxa"/>
            <w:hideMark/>
          </w:tcPr>
          <w:p w14:paraId="3F112B9A" w14:textId="77777777" w:rsidR="000E61A5" w:rsidRPr="00215F99" w:rsidRDefault="000E61A5" w:rsidP="00717966">
            <w:pPr>
              <w:pStyle w:val="TableHeading"/>
            </w:pPr>
            <w:r w:rsidRPr="00215F99">
              <w:t>Part 2: Self-assessment component</w:t>
            </w:r>
          </w:p>
        </w:tc>
      </w:tr>
      <w:tr w:rsidR="000E61A5" w:rsidRPr="00215F99" w14:paraId="0BEC673C" w14:textId="77777777" w:rsidTr="00717966">
        <w:trPr>
          <w:trHeight w:val="1186"/>
        </w:trPr>
        <w:tc>
          <w:tcPr>
            <w:tcW w:w="1134" w:type="dxa"/>
            <w:vMerge w:val="restart"/>
            <w:hideMark/>
          </w:tcPr>
          <w:p w14:paraId="0F47333C" w14:textId="77777777" w:rsidR="000E61A5" w:rsidRPr="00215F99" w:rsidRDefault="000E61A5" w:rsidP="00717966">
            <w:pPr>
              <w:pStyle w:val="TableFirstColumn"/>
            </w:pPr>
            <w:r w:rsidRPr="00215F99">
              <w:t>A.1.1/MT1</w:t>
            </w:r>
          </w:p>
        </w:tc>
        <w:tc>
          <w:tcPr>
            <w:tcW w:w="3828" w:type="dxa"/>
            <w:vMerge w:val="restart"/>
            <w:hideMark/>
          </w:tcPr>
          <w:p w14:paraId="39853846" w14:textId="77777777" w:rsidR="000E61A5" w:rsidRPr="00215F99" w:rsidRDefault="000E61A5" w:rsidP="00717966">
            <w:pPr>
              <w:pStyle w:val="TableText"/>
              <w:rPr>
                <w:b/>
                <w:bCs/>
              </w:rPr>
            </w:pPr>
            <w:r w:rsidRPr="00215F99">
              <w:rPr>
                <w:b/>
                <w:bCs/>
              </w:rPr>
              <w:t>How accessible are initial VET programmes in your country overall, and to what extent do these programmes attract learners?</w:t>
            </w:r>
          </w:p>
          <w:p w14:paraId="46CCA71A" w14:textId="77777777" w:rsidR="000E61A5" w:rsidRPr="00215F99" w:rsidRDefault="000E61A5" w:rsidP="00717966">
            <w:pPr>
              <w:pStyle w:val="TableText"/>
            </w:pPr>
          </w:p>
          <w:p w14:paraId="343369D6" w14:textId="77777777" w:rsidR="000E61A5" w:rsidRPr="00215F99" w:rsidRDefault="000E61A5" w:rsidP="00717966">
            <w:pPr>
              <w:pStyle w:val="TableText"/>
              <w:rPr>
                <w:i/>
                <w:iCs/>
              </w:rPr>
            </w:pPr>
            <w:r w:rsidRPr="00215F99">
              <w:rPr>
                <w:i/>
                <w:iCs/>
              </w:rPr>
              <w:t>Additional guidance: You may refer to relevant factors, which may include entry requirements, availability of programmes, geographical coverage, learner motivation, costs (including fees and charges), access to dormitories and transportation, as well as the public image of initial VET. Include also description of relevant policies and arrangements, to the extent they are available.</w:t>
            </w:r>
          </w:p>
        </w:tc>
        <w:tc>
          <w:tcPr>
            <w:tcW w:w="3827" w:type="dxa"/>
            <w:hideMark/>
          </w:tcPr>
          <w:p w14:paraId="337004F8" w14:textId="77777777" w:rsidR="000E61A5" w:rsidRPr="00215F99" w:rsidRDefault="000E61A5" w:rsidP="00717966">
            <w:pPr>
              <w:pStyle w:val="TableText"/>
              <w:rPr>
                <w:b/>
                <w:bCs/>
              </w:rPr>
            </w:pPr>
            <w:r w:rsidRPr="00215F99">
              <w:rPr>
                <w:b/>
                <w:bCs/>
              </w:rPr>
              <w:t>How would you rate the current situation in this area?</w:t>
            </w:r>
          </w:p>
          <w:p w14:paraId="6B7B69D8" w14:textId="77777777" w:rsidR="000E61A5" w:rsidRPr="00215F99" w:rsidRDefault="000E61A5" w:rsidP="00717966">
            <w:pPr>
              <w:pStyle w:val="TableText"/>
              <w:rPr>
                <w:b/>
                <w:bCs/>
              </w:rPr>
            </w:pPr>
          </w:p>
          <w:p w14:paraId="789875CE" w14:textId="77777777" w:rsidR="000E61A5" w:rsidRPr="00215F99" w:rsidRDefault="000E61A5" w:rsidP="00717966">
            <w:pPr>
              <w:pStyle w:val="TableText"/>
              <w:rPr>
                <w:i/>
                <w:iCs/>
              </w:rPr>
            </w:pPr>
            <w:r w:rsidRPr="00215F99">
              <w:rPr>
                <w:i/>
                <w:iCs/>
              </w:rPr>
              <w:t>Additional guidance: Your rating should reflect the extent to which the VET system delivers to learners in the area covered by the question, in line with relevant national and international commitments.</w:t>
            </w:r>
          </w:p>
        </w:tc>
      </w:tr>
      <w:tr w:rsidR="000E61A5" w:rsidRPr="00215F99" w14:paraId="37D97717" w14:textId="77777777" w:rsidTr="00717966">
        <w:trPr>
          <w:trHeight w:val="1037"/>
        </w:trPr>
        <w:tc>
          <w:tcPr>
            <w:tcW w:w="1134" w:type="dxa"/>
            <w:vMerge/>
            <w:hideMark/>
          </w:tcPr>
          <w:p w14:paraId="074124F8" w14:textId="77777777" w:rsidR="000E61A5" w:rsidRPr="00215F99" w:rsidRDefault="000E61A5" w:rsidP="00717966">
            <w:pPr>
              <w:pStyle w:val="TableFirstColumn"/>
            </w:pPr>
          </w:p>
        </w:tc>
        <w:tc>
          <w:tcPr>
            <w:tcW w:w="3828" w:type="dxa"/>
            <w:vMerge/>
            <w:hideMark/>
          </w:tcPr>
          <w:p w14:paraId="6933EC19" w14:textId="77777777" w:rsidR="000E61A5" w:rsidRPr="00215F99" w:rsidRDefault="000E61A5" w:rsidP="00717966">
            <w:pPr>
              <w:rPr>
                <w:rFonts w:eastAsia="Times New Roman"/>
                <w:color w:val="000000"/>
                <w:sz w:val="16"/>
                <w:szCs w:val="16"/>
              </w:rPr>
            </w:pPr>
          </w:p>
        </w:tc>
        <w:tc>
          <w:tcPr>
            <w:tcW w:w="3827" w:type="dxa"/>
            <w:hideMark/>
          </w:tcPr>
          <w:p w14:paraId="07F56928" w14:textId="77777777" w:rsidR="000E61A5" w:rsidRPr="00215F99" w:rsidRDefault="000E61A5" w:rsidP="00717966">
            <w:pPr>
              <w:rPr>
                <w:rFonts w:eastAsia="Times New Roman"/>
                <w:b/>
                <w:bCs/>
                <w:color w:val="000000"/>
                <w:sz w:val="16"/>
                <w:szCs w:val="16"/>
              </w:rPr>
            </w:pPr>
            <w:r w:rsidRPr="00215F99">
              <w:rPr>
                <w:rFonts w:eastAsia="Times New Roman"/>
                <w:b/>
                <w:bCs/>
                <w:color w:val="000000"/>
                <w:sz w:val="16"/>
                <w:szCs w:val="16"/>
              </w:rPr>
              <w:t>(Tick one box only)</w:t>
            </w:r>
          </w:p>
          <w:p w14:paraId="6CCFD07C" w14:textId="77777777" w:rsidR="000E61A5" w:rsidRPr="00215F99" w:rsidRDefault="000E61A5" w:rsidP="00717966">
            <w:pPr>
              <w:rPr>
                <w:rFonts w:eastAsia="Times New Roman"/>
                <w:color w:val="000000"/>
                <w:sz w:val="16"/>
                <w:szCs w:val="16"/>
              </w:rPr>
            </w:pPr>
            <w:r w:rsidRPr="00215F99">
              <w:rPr>
                <w:rFonts w:ascii="Segoe UI Symbol" w:eastAsia="Times New Roman" w:hAnsi="Segoe UI Symbol" w:cs="Segoe UI Symbol"/>
                <w:color w:val="000000"/>
                <w:sz w:val="16"/>
                <w:szCs w:val="16"/>
              </w:rPr>
              <w:t>☐</w:t>
            </w:r>
            <w:r w:rsidRPr="00215F99">
              <w:rPr>
                <w:rFonts w:eastAsia="Times New Roman"/>
                <w:color w:val="000000"/>
                <w:sz w:val="16"/>
                <w:szCs w:val="16"/>
              </w:rPr>
              <w:t xml:space="preserve"> Needs significant improvement</w:t>
            </w:r>
          </w:p>
          <w:p w14:paraId="7B7E24A5" w14:textId="77777777" w:rsidR="000E61A5" w:rsidRPr="00215F99" w:rsidRDefault="000E61A5" w:rsidP="00717966">
            <w:pPr>
              <w:rPr>
                <w:rFonts w:eastAsia="Times New Roman"/>
                <w:color w:val="000000"/>
                <w:sz w:val="16"/>
                <w:szCs w:val="16"/>
              </w:rPr>
            </w:pPr>
            <w:r w:rsidRPr="00215F99">
              <w:rPr>
                <w:rFonts w:ascii="Segoe UI Symbol" w:eastAsia="Times New Roman" w:hAnsi="Segoe UI Symbol" w:cs="Segoe UI Symbol"/>
                <w:color w:val="000000"/>
                <w:sz w:val="16"/>
                <w:szCs w:val="16"/>
              </w:rPr>
              <w:t>☐</w:t>
            </w:r>
            <w:r w:rsidRPr="00215F99">
              <w:rPr>
                <w:rFonts w:eastAsia="Times New Roman"/>
                <w:color w:val="000000"/>
                <w:sz w:val="16"/>
                <w:szCs w:val="16"/>
              </w:rPr>
              <w:t xml:space="preserve"> Needs some improvement</w:t>
            </w:r>
          </w:p>
          <w:p w14:paraId="3150DB08" w14:textId="77777777" w:rsidR="000E61A5" w:rsidRPr="00215F99" w:rsidRDefault="000E61A5" w:rsidP="00717966">
            <w:pPr>
              <w:rPr>
                <w:rFonts w:eastAsia="Times New Roman"/>
                <w:color w:val="000000"/>
                <w:sz w:val="16"/>
                <w:szCs w:val="16"/>
              </w:rPr>
            </w:pPr>
            <w:r w:rsidRPr="00215F99">
              <w:rPr>
                <w:rFonts w:ascii="Segoe UI Symbol" w:eastAsia="Times New Roman" w:hAnsi="Segoe UI Symbol" w:cs="Segoe UI Symbol"/>
                <w:color w:val="000000"/>
                <w:sz w:val="16"/>
                <w:szCs w:val="16"/>
              </w:rPr>
              <w:t>☐</w:t>
            </w:r>
            <w:r w:rsidRPr="00215F99">
              <w:rPr>
                <w:rFonts w:eastAsia="Times New Roman"/>
                <w:color w:val="000000"/>
                <w:sz w:val="16"/>
                <w:szCs w:val="16"/>
              </w:rPr>
              <w:t xml:space="preserve"> Adequate</w:t>
            </w:r>
          </w:p>
          <w:p w14:paraId="05EF9CF3" w14:textId="77777777" w:rsidR="000E61A5" w:rsidRPr="00215F99" w:rsidRDefault="000E61A5" w:rsidP="00717966">
            <w:pPr>
              <w:rPr>
                <w:rFonts w:eastAsia="Times New Roman"/>
                <w:color w:val="000000"/>
                <w:sz w:val="16"/>
                <w:szCs w:val="16"/>
              </w:rPr>
            </w:pPr>
            <w:r w:rsidRPr="00215F99">
              <w:rPr>
                <w:rFonts w:ascii="Segoe UI Symbol" w:eastAsia="Times New Roman" w:hAnsi="Segoe UI Symbol" w:cs="Segoe UI Symbol"/>
                <w:color w:val="000000"/>
                <w:sz w:val="16"/>
                <w:szCs w:val="16"/>
              </w:rPr>
              <w:t>☐ Good</w:t>
            </w:r>
          </w:p>
          <w:p w14:paraId="5464BDFD" w14:textId="77777777" w:rsidR="000E61A5" w:rsidRPr="00215F99" w:rsidRDefault="000E61A5" w:rsidP="00717966">
            <w:pPr>
              <w:rPr>
                <w:rFonts w:eastAsia="Times New Roman"/>
                <w:i/>
                <w:iCs/>
                <w:color w:val="000000"/>
                <w:sz w:val="16"/>
                <w:szCs w:val="16"/>
              </w:rPr>
            </w:pPr>
            <w:r w:rsidRPr="00215F99">
              <w:rPr>
                <w:rFonts w:ascii="Segoe UI Symbol" w:eastAsia="Times New Roman" w:hAnsi="Segoe UI Symbol" w:cs="Segoe UI Symbol"/>
                <w:color w:val="000000"/>
                <w:sz w:val="16"/>
                <w:szCs w:val="16"/>
              </w:rPr>
              <w:t>☐</w:t>
            </w:r>
            <w:r w:rsidRPr="00215F99">
              <w:rPr>
                <w:rFonts w:eastAsia="Times New Roman"/>
                <w:color w:val="000000"/>
                <w:sz w:val="16"/>
                <w:szCs w:val="16"/>
              </w:rPr>
              <w:t xml:space="preserve"> Very good</w:t>
            </w:r>
          </w:p>
        </w:tc>
      </w:tr>
    </w:tbl>
    <w:p w14:paraId="2CBA8194" w14:textId="77777777" w:rsidR="000E61A5" w:rsidRPr="00215F99" w:rsidRDefault="000E61A5" w:rsidP="000E61A5">
      <w:pPr>
        <w:pStyle w:val="BodyText"/>
        <w:spacing w:before="240"/>
      </w:pPr>
      <w:r w:rsidRPr="00215F99">
        <w:t>In 2025, the questionnaire also features an exploratory module with five questions, which address emerging or less well-understood issues in education and VET. The purpose is to gather initial insights into areas that may become more relevant for future rounds of monitoring. In 2025, these areas include non-formal adult learning, integrity of policy and practice in VET, citizenship education, fragility, and innovation.</w:t>
      </w:r>
    </w:p>
    <w:p w14:paraId="0A09C48A" w14:textId="77777777" w:rsidR="000E61A5" w:rsidRPr="00215F99" w:rsidRDefault="000E61A5" w:rsidP="000E61A5">
      <w:pPr>
        <w:pStyle w:val="BodyText"/>
        <w:spacing w:before="240"/>
      </w:pPr>
      <w:r w:rsidRPr="00215F99">
        <w:t xml:space="preserve">The full list of questions used in the 2025 round of Torino Process system performance monitoring can be found here: </w:t>
      </w:r>
      <w:bookmarkStart w:id="21" w:name="_Hlk198797318"/>
      <w:r w:rsidRPr="00215F99">
        <w:fldChar w:fldCharType="begin"/>
      </w:r>
      <w:r w:rsidRPr="00215F99">
        <w:instrText>HYPERLINK "https://bit.ly/3YUIbXE"</w:instrText>
      </w:r>
      <w:r w:rsidRPr="00215F99">
        <w:fldChar w:fldCharType="separate"/>
      </w:r>
      <w:r w:rsidRPr="00215F99">
        <w:rPr>
          <w:rStyle w:val="Hyperlink"/>
        </w:rPr>
        <w:t>https://bit.ly/3YUIbXE</w:t>
      </w:r>
      <w:r w:rsidRPr="00215F99">
        <w:fldChar w:fldCharType="end"/>
      </w:r>
      <w:r w:rsidRPr="00215F99">
        <w:t>.</w:t>
      </w:r>
      <w:bookmarkEnd w:id="21"/>
    </w:p>
    <w:p w14:paraId="33C59755" w14:textId="3732F86B" w:rsidR="000E61A5" w:rsidRPr="00215F99" w:rsidRDefault="000E61A5" w:rsidP="000E61A5">
      <w:pPr>
        <w:pStyle w:val="Heading2"/>
      </w:pPr>
      <w:bookmarkStart w:id="22" w:name="_TOC_250008"/>
      <w:bookmarkStart w:id="23" w:name="_Toc103265292"/>
      <w:bookmarkStart w:id="24" w:name="_Toc198827571"/>
      <w:r w:rsidRPr="00215F99">
        <w:t>Process</w:t>
      </w:r>
      <w:bookmarkEnd w:id="22"/>
      <w:bookmarkEnd w:id="23"/>
      <w:r w:rsidRPr="00215F99">
        <w:t xml:space="preserve"> and method</w:t>
      </w:r>
      <w:bookmarkEnd w:id="24"/>
      <w:r w:rsidRPr="00215F99">
        <w:t> </w:t>
      </w:r>
    </w:p>
    <w:p w14:paraId="3E4B705F" w14:textId="77777777" w:rsidR="000E61A5" w:rsidRPr="00215F99" w:rsidRDefault="000E61A5" w:rsidP="000E61A5">
      <w:pPr>
        <w:pStyle w:val="BodyText"/>
      </w:pPr>
      <w:r w:rsidRPr="00215F99">
        <w:t xml:space="preserve">To ensure consistency in the collection of data across countries, the Torino Process monitoring follows a uniform sequence of steps. </w:t>
      </w:r>
    </w:p>
    <w:p w14:paraId="6F22B3D7" w14:textId="77777777" w:rsidR="000E61A5" w:rsidRPr="00215F99" w:rsidRDefault="000E61A5" w:rsidP="000E61A5">
      <w:pPr>
        <w:pStyle w:val="BodyText"/>
      </w:pPr>
      <w:r w:rsidRPr="00215F99">
        <w:rPr>
          <w:b/>
          <w:bCs/>
        </w:rPr>
        <w:t>The first step</w:t>
      </w:r>
      <w:r w:rsidRPr="00215F99">
        <w:t xml:space="preserve"> is the annual compilation of KIESE data in the form of quantitative indicators (proxies) for each country and outcome. While the selection of data is the same for all countries, it is reviewed annually and updated if necessary to ensure its continued relevance. Being KIESE data, the indicators are sourced from open-access international repositories, such as those maintained by UNESCO, the World Bank, and others, as shown in Table 5.</w:t>
      </w:r>
    </w:p>
    <w:p w14:paraId="215A3C50" w14:textId="77777777" w:rsidR="000E61A5" w:rsidRPr="00215F99" w:rsidRDefault="000E61A5" w:rsidP="000E61A5">
      <w:pPr>
        <w:pStyle w:val="BodyText"/>
      </w:pPr>
      <w:r w:rsidRPr="00215F99">
        <w:rPr>
          <w:b/>
          <w:bCs/>
        </w:rPr>
        <w:t>The second step</w:t>
      </w:r>
      <w:r w:rsidRPr="00215F99">
        <w:t xml:space="preserve"> is the identification of monitoring targets for which quantitative data is missing, followed by the collection of self-assessment data from countries via questionnaires to fill these gaps. Once collected, the data is quantified and used as substitutes in the calculation of system performance indices for targets affected by the lack of quantitative evidence. "Missing" in this context refers to the complete absence of indicators for a given outcome or target.</w:t>
      </w:r>
    </w:p>
    <w:p w14:paraId="1DC8909F" w14:textId="77777777" w:rsidR="000E61A5" w:rsidRPr="00215F99" w:rsidRDefault="000E61A5" w:rsidP="000E61A5">
      <w:pPr>
        <w:pStyle w:val="BodyText"/>
      </w:pPr>
      <w:r w:rsidRPr="00215F99">
        <w:rPr>
          <w:b/>
          <w:bCs/>
        </w:rPr>
        <w:t xml:space="preserve">The third step </w:t>
      </w:r>
      <w:r w:rsidRPr="00215F99">
        <w:t>is the submission of evidence and information by national experts. This involves the distribution of questionnaires to the experts, and the collation of information by them. Once the questionnaires are filled out, the ETF carries out a technical compliance check to ensure that all sub-sections of each question are addressed and requests additional information if any sections are left blank.</w:t>
      </w:r>
    </w:p>
    <w:p w14:paraId="3260E925" w14:textId="77777777" w:rsidR="000E61A5" w:rsidRPr="00215F99" w:rsidRDefault="000E61A5" w:rsidP="000E61A5">
      <w:pPr>
        <w:pStyle w:val="BodyText"/>
      </w:pPr>
      <w:r w:rsidRPr="00215F99">
        <w:rPr>
          <w:b/>
          <w:bCs/>
        </w:rPr>
        <w:lastRenderedPageBreak/>
        <w:t>The fourth step</w:t>
      </w:r>
      <w:r w:rsidRPr="00215F99">
        <w:t xml:space="preserve"> involves the calculation of the 32 SPIs for each country. The SPI are derived by combining quantitative data, or quantified self-assessment data where quantitative data is missing, into a single, comprehensive score for each monitoring target.</w:t>
      </w:r>
      <w:r w:rsidRPr="00215F99">
        <w:rPr>
          <w:rStyle w:val="FootnoteReference"/>
        </w:rPr>
        <w:footnoteReference w:id="2"/>
      </w:r>
      <w:r w:rsidRPr="00215F99">
        <w:t xml:space="preserve"> </w:t>
      </w:r>
    </w:p>
    <w:p w14:paraId="4ADD11EC" w14:textId="77777777" w:rsidR="000E61A5" w:rsidRPr="00215F99" w:rsidRDefault="000E61A5" w:rsidP="000E61A5">
      <w:pPr>
        <w:pStyle w:val="BodyText"/>
      </w:pPr>
      <w:r w:rsidRPr="00215F99">
        <w:t>Since the data points often vary in scale, they are first rescaled to a common 0-100 scale, where higher scores indicate better performance. For targets which relay on self-assessment data, the responses are converted to the same 0-100 scale and combined with the rest of the data for the calculation.</w:t>
      </w:r>
    </w:p>
    <w:p w14:paraId="1E0570A4" w14:textId="77777777" w:rsidR="000E61A5" w:rsidRPr="00215F99" w:rsidRDefault="000E61A5" w:rsidP="000E61A5">
      <w:pPr>
        <w:pStyle w:val="BodyText"/>
      </w:pPr>
      <w:r w:rsidRPr="00215F99">
        <w:t xml:space="preserve">Once all the data is prepared, the indicators are weighted and averaged to produce a composite SPI score for each monitoring target. The weighting is determined through expert analysis and the importance of each indicator to the specific outcomes being measured. Finally, the composite scores are aggregated across different dimensions and areas of monitoring to generate the overall SPI for a target or a group of targets within a dimension. </w:t>
      </w:r>
    </w:p>
    <w:p w14:paraId="51BEF841" w14:textId="77777777" w:rsidR="000E61A5" w:rsidRPr="00215F99" w:rsidRDefault="000E61A5" w:rsidP="000E61A5">
      <w:pPr>
        <w:pStyle w:val="BodyText"/>
      </w:pPr>
      <w:r w:rsidRPr="00215F99">
        <w:t xml:space="preserve">A full overview of how the calculations of the SPIs are done can be found here: </w:t>
      </w:r>
      <w:hyperlink r:id="rId13" w:history="1">
        <w:r w:rsidRPr="00215F99">
          <w:rPr>
            <w:rStyle w:val="Hyperlink"/>
          </w:rPr>
          <w:t>https://bit.ly/3XJg101</w:t>
        </w:r>
      </w:hyperlink>
      <w:r w:rsidRPr="00215F99">
        <w:t>.</w:t>
      </w:r>
    </w:p>
    <w:p w14:paraId="2646A3B1" w14:textId="7F2B47E4" w:rsidR="000E61A5" w:rsidRPr="00215F99" w:rsidRDefault="000E61A5" w:rsidP="000E61A5">
      <w:pPr>
        <w:pStyle w:val="Heading2"/>
      </w:pPr>
      <w:bookmarkStart w:id="25" w:name="_Toc198827572"/>
      <w:r w:rsidRPr="00215F99">
        <w:t>Participation and geographic coverage</w:t>
      </w:r>
      <w:bookmarkEnd w:id="25"/>
    </w:p>
    <w:p w14:paraId="7F027B1D" w14:textId="77777777" w:rsidR="000E61A5" w:rsidRPr="00215F99" w:rsidRDefault="000E61A5" w:rsidP="000E61A5">
      <w:pPr>
        <w:pStyle w:val="BodyText"/>
      </w:pPr>
      <w:r w:rsidRPr="00215F99">
        <w:t>Participation in this strand is open annually to all partner countries, with data collected and analysed simultaneously across countries. Countries that participate are expected to nominate a national coordinator, typically from a relevant line ministry (e.g. Education, Labour) or a subordinate national agency. The coordinator serves as the primary contact point for evidence collection and stakeholder communication within the country.</w:t>
      </w:r>
    </w:p>
    <w:p w14:paraId="1D3A021F" w14:textId="36957647" w:rsidR="000E61A5" w:rsidRPr="00215F99" w:rsidRDefault="000E61A5" w:rsidP="000E61A5">
      <w:pPr>
        <w:pStyle w:val="Heading2"/>
      </w:pPr>
      <w:bookmarkStart w:id="26" w:name="_Toc198827573"/>
      <w:bookmarkStart w:id="27" w:name="_Toc103768175"/>
      <w:bookmarkEnd w:id="13"/>
      <w:r w:rsidRPr="00215F99">
        <w:t>Deliverables</w:t>
      </w:r>
      <w:bookmarkEnd w:id="26"/>
    </w:p>
    <w:bookmarkEnd w:id="27"/>
    <w:p w14:paraId="55701908" w14:textId="77777777" w:rsidR="000E61A5" w:rsidRPr="00215F99" w:rsidRDefault="000E61A5" w:rsidP="000E61A5">
      <w:pPr>
        <w:pStyle w:val="BodyText"/>
      </w:pPr>
      <w:r w:rsidRPr="00215F99">
        <w:t xml:space="preserve">The monitoring delivers </w:t>
      </w:r>
      <w:r w:rsidRPr="00215F99">
        <w:rPr>
          <w:b/>
          <w:bCs/>
        </w:rPr>
        <w:t>raw data</w:t>
      </w:r>
      <w:r w:rsidRPr="00215F99">
        <w:t xml:space="preserve"> in the form of country responses to questionnaires and quantitative KIESE indicators. These raw data constitute stand-alone units of </w:t>
      </w:r>
      <w:r w:rsidRPr="00215F99">
        <w:rPr>
          <w:b/>
          <w:bCs/>
        </w:rPr>
        <w:t xml:space="preserve">primary evidence </w:t>
      </w:r>
      <w:r w:rsidRPr="00215F99">
        <w:t xml:space="preserve">that can be used independently. From this primary evidence, the monitoring also produces </w:t>
      </w:r>
      <w:r w:rsidRPr="00215F99">
        <w:rPr>
          <w:b/>
          <w:bCs/>
        </w:rPr>
        <w:t>composite evidence</w:t>
      </w:r>
      <w:r w:rsidRPr="00215F99">
        <w:t xml:space="preserve"> in the form of SPIs. The SPIs synthesise the quantitative indicators and quantified self-assessment data into single measures of performance, providing a more comprehensive picture of system performance.</w:t>
      </w:r>
    </w:p>
    <w:p w14:paraId="487D2378" w14:textId="77777777" w:rsidR="000E61A5" w:rsidRPr="00215F99" w:rsidRDefault="000E61A5" w:rsidP="000E61A5">
      <w:pPr>
        <w:pStyle w:val="BodyText"/>
      </w:pPr>
      <w:r w:rsidRPr="00215F99">
        <w:t xml:space="preserve">All monitoring data for the 2024 cycle can be found here: https://bit.ly/45iPfRB. All monitoring data for the 2023 cycle can be found here: </w:t>
      </w:r>
      <w:hyperlink r:id="rId14" w:history="1">
        <w:r w:rsidRPr="00215F99">
          <w:rPr>
            <w:rStyle w:val="Hyperlink"/>
          </w:rPr>
          <w:t>https://bit.ly/3XGm9WY</w:t>
        </w:r>
      </w:hyperlink>
      <w:r w:rsidRPr="00215F99">
        <w:t xml:space="preserve">. </w:t>
      </w:r>
    </w:p>
    <w:p w14:paraId="03C68B17" w14:textId="77777777" w:rsidR="000E61A5" w:rsidRPr="00215F99" w:rsidRDefault="000E61A5" w:rsidP="000E61A5">
      <w:pPr>
        <w:pStyle w:val="BodyText"/>
      </w:pPr>
      <w:r w:rsidRPr="00215F99">
        <w:t>The SPIs offer a flexible tool for monitoring performance across multiple dimensions. They can be used to track performance by country across all thematic monitoring areas (grey vertical arrow in Table 7), providing a comprehensive overview of performance within each country. The SPIs can also be used to monitor selected themes across multiple countries or groups of countries (blue horizontal arrow in Table 7). These themes may encompass broad areas of system performance—such as access, quality, or governance—or focus specifically on certain learner groups, including female students, socioeconomically disadvantaged learners, or adults at risk of exclusion.</w:t>
      </w:r>
    </w:p>
    <w:p w14:paraId="335D83C7" w14:textId="77777777" w:rsidR="0013182F" w:rsidRDefault="0013182F">
      <w:pPr>
        <w:rPr>
          <w:b/>
          <w:bCs/>
          <w:color w:val="0092BB" w:themeColor="text2"/>
        </w:rPr>
      </w:pPr>
      <w:r>
        <w:br w:type="page"/>
      </w:r>
    </w:p>
    <w:p w14:paraId="72D29252" w14:textId="491485CA" w:rsidR="000E61A5" w:rsidRPr="00215F99" w:rsidRDefault="000E61A5" w:rsidP="000E61A5">
      <w:pPr>
        <w:pStyle w:val="TableTitle"/>
      </w:pPr>
      <w:r w:rsidRPr="00215F99">
        <w:lastRenderedPageBreak/>
        <w:t>Table 7. Main dimensions of system performance monitoring: tracking by country and theme</w:t>
      </w:r>
    </w:p>
    <w:tbl>
      <w:tblPr>
        <w:tblStyle w:val="ETF2021"/>
        <w:tblW w:w="9370" w:type="dxa"/>
        <w:tblLayout w:type="fixed"/>
        <w:tblLook w:val="04A0" w:firstRow="1" w:lastRow="0" w:firstColumn="1" w:lastColumn="0" w:noHBand="0" w:noVBand="1"/>
      </w:tblPr>
      <w:tblGrid>
        <w:gridCol w:w="1170"/>
        <w:gridCol w:w="1170"/>
        <w:gridCol w:w="1080"/>
        <w:gridCol w:w="630"/>
        <w:gridCol w:w="2610"/>
        <w:gridCol w:w="540"/>
        <w:gridCol w:w="540"/>
        <w:gridCol w:w="540"/>
        <w:gridCol w:w="540"/>
        <w:gridCol w:w="550"/>
      </w:tblGrid>
      <w:tr w:rsidR="000E61A5" w:rsidRPr="00215F99" w14:paraId="1409BC40" w14:textId="77777777" w:rsidTr="00717966">
        <w:trPr>
          <w:cnfStyle w:val="100000000000" w:firstRow="1" w:lastRow="0" w:firstColumn="0" w:lastColumn="0" w:oddVBand="0" w:evenVBand="0" w:oddHBand="0" w:evenHBand="0" w:firstRowFirstColumn="0" w:firstRowLastColumn="0" w:lastRowFirstColumn="0" w:lastRowLastColumn="0"/>
          <w:trHeight w:val="290"/>
          <w:tblHeader/>
        </w:trPr>
        <w:tc>
          <w:tcPr>
            <w:tcW w:w="1170" w:type="dxa"/>
            <w:noWrap/>
            <w:hideMark/>
          </w:tcPr>
          <w:p w14:paraId="134450FF" w14:textId="77777777" w:rsidR="000E61A5" w:rsidRPr="00215F99" w:rsidRDefault="000E61A5" w:rsidP="00717966">
            <w:pPr>
              <w:pStyle w:val="TableHeading"/>
            </w:pPr>
            <w:r w:rsidRPr="00215F99">
              <w:rPr>
                <w:noProof/>
              </w:rPr>
              <mc:AlternateContent>
                <mc:Choice Requires="wpg">
                  <w:drawing>
                    <wp:anchor distT="0" distB="0" distL="114300" distR="114300" simplePos="0" relativeHeight="251659264" behindDoc="0" locked="0" layoutInCell="1" allowOverlap="1" wp14:anchorId="4E9716AB" wp14:editId="154D7651">
                      <wp:simplePos x="0" y="0"/>
                      <wp:positionH relativeFrom="column">
                        <wp:posOffset>-49847</wp:posOffset>
                      </wp:positionH>
                      <wp:positionV relativeFrom="paragraph">
                        <wp:posOffset>-39685</wp:posOffset>
                      </wp:positionV>
                      <wp:extent cx="5943600" cy="1738314"/>
                      <wp:effectExtent l="19050" t="19050" r="38100" b="33655"/>
                      <wp:wrapNone/>
                      <wp:docPr id="697085793" name="Group 2"/>
                      <wp:cNvGraphicFramePr/>
                      <a:graphic xmlns:a="http://schemas.openxmlformats.org/drawingml/2006/main">
                        <a:graphicData uri="http://schemas.microsoft.com/office/word/2010/wordprocessingGroup">
                          <wpg:wgp>
                            <wpg:cNvGrpSpPr/>
                            <wpg:grpSpPr>
                              <a:xfrm>
                                <a:off x="0" y="0"/>
                                <a:ext cx="5943600" cy="1738314"/>
                                <a:chOff x="0" y="304802"/>
                                <a:chExt cx="5943600" cy="1738411"/>
                              </a:xfrm>
                            </wpg:grpSpPr>
                            <wps:wsp>
                              <wps:cNvPr id="348755902" name="Arrow: Notched Right 1"/>
                              <wps:cNvSpPr/>
                              <wps:spPr>
                                <a:xfrm>
                                  <a:off x="0" y="588581"/>
                                  <a:ext cx="5943600" cy="192405"/>
                                </a:xfrm>
                                <a:prstGeom prst="notchedRightArrow">
                                  <a:avLst/>
                                </a:prstGeom>
                                <a:solidFill>
                                  <a:srgbClr val="009CDE">
                                    <a:alpha val="47843"/>
                                  </a:srgb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768738" name="Arrow: Notched Right 1"/>
                              <wps:cNvSpPr/>
                              <wps:spPr>
                                <a:xfrm rot="5400000">
                                  <a:off x="3676080" y="1098442"/>
                                  <a:ext cx="1738411" cy="151131"/>
                                </a:xfrm>
                                <a:prstGeom prst="notchedRightArrow">
                                  <a:avLst/>
                                </a:prstGeom>
                                <a:solidFill>
                                  <a:schemeClr val="tx1">
                                    <a:lumMod val="75000"/>
                                    <a:alpha val="3098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3EF4AD0" id="Group 2" o:spid="_x0000_s1026" style="position:absolute;margin-left:-3.9pt;margin-top:-3.1pt;width:468pt;height:136.9pt;z-index:251659264;mso-height-relative:margin" coordorigin=",3048" coordsize="59436,17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VwawMAABYLAAAOAAAAZHJzL2Uyb0RvYy54bWzsVk1v2zgQvS+w/4HgvZFkSbYsRCmMpAkW&#10;yKZB00XODEVZAiiSS9KRs79+h6QkO2nSQwMUKNALTWq+H2eeefpx33P0yLTppKhwchJjxASVdSe2&#10;Ff7n6+WHAiNjiagJl4JV+IkZ/PHszz9OB1WyhWwlr5lG4ESYclAVbq1VZRQZ2rKemBOpmABhI3VP&#10;LBz1Nqo1GcB7z6NFHC+jQepaaUmZMfD1IgjxmfffNIzaz01jmEW8wpCb9av264Nbo7NTUm41UW1H&#10;xzTID2TRk05A0NnVBbEE7XT3jau+o1oa2dgTKvtINk1Hma8BqkniF9VcablTvpZtOWzVDBNA+wKn&#10;H3ZLbx6vtLpTtxqQGNQWsPAnV8u+0b37hSzR3kP2NEPG9hZR+Jivs3QZA7IUZMkqLdIkC6DSFpA/&#10;2KVxVsSLSfTpLfMsSZxONEWPnuU0KOgScwDCvA+Iu5Yo5vE1JQBxq1FXVzjNilWeryFZJEgPPbvR&#10;Wg4lupEWurJGX7pta5FP0+UDhjN8pjSA5JvY5UWRF96QlK8DuF5kcf4MAFIqbewVkz1ymwqLkIbP&#10;wmfm+448XhsbgJv0XRpG8q6+7Dj3B719OOcaPRI3DPH6/OJTsOWqJeFrtiqydIxvgrq/jCM/cCNT&#10;mX5nnzhz3rn4whoAEJpi4d36GWZzQEIpEzYJopbULERM8hjaJ2Q+W/iY3qHz3ED+s+/RgeOHb30H&#10;N6O+M2WeAmbj+HuJBePZwkeWws7GfSekfs0Bh6rGyEEf0j+Cxm0fZP0E7aVlICCj6GUHt3lNjL0l&#10;GhgHJghY1H6GpeFyqLAcdxi1Uv/32nenD/0PUowGYLAKm393RDOM+F8CJmOdZJmjPH/I8tUCDvpY&#10;8nAsEbv+XEJfJMDXivqt07d82jZa9vdAthsXFUREUIhdYWr1dDi3gVmBrinbbLwa0Jwi9lrcKeqc&#10;O1Rdg37d3xOtxpa2MAw3cppGUr5o5qDrLIXc7KxsOt/pB1xHvIEZHIf9DIpYpqtlAWz3XooIHZFn&#10;MAMwBa7EkWzT5WoZFwCzo9V4XWTZyJ0TbziudWQZiDdPknRqwom2Jx54P288Hza7D9fId/3fsg5T&#10;vJqmGC7vwCYpJP76bP/mkwr/5pNfgU/8AwQeX/4vaXwoutfd8dnzz+E5e/Y/AAAA//8DAFBLAwQU&#10;AAYACAAAACEAI5LxJeAAAAAJAQAADwAAAGRycy9kb3ducmV2LnhtbEyPQUvDQBCF74L/YRnBW7tJ&#10;xLSN2ZRS1FMRbAXpbZudJqHZ2ZDdJum/dzzpad7whve+ydeTbcWAvW8cKYjnEQik0pmGKgVfh7fZ&#10;EoQPmoxuHaGCG3pYF/d3uc6MG+kTh32oBIeQz7SCOoQuk9KXNVrt565DYu/seqsDr30lTa9HDret&#10;TKIolVY3xA217nBbY3nZX62C91GPm6f4ddhdztvb8fD88b2LUanHh2nzAiLgFP6O4Ref0aFgppO7&#10;kvGiVTBbMHngmSYg2F8lSxYnBUm6SEEWufz/QfEDAAD//wMAUEsBAi0AFAAGAAgAAAAhALaDOJL+&#10;AAAA4QEAABMAAAAAAAAAAAAAAAAAAAAAAFtDb250ZW50X1R5cGVzXS54bWxQSwECLQAUAAYACAAA&#10;ACEAOP0h/9YAAACUAQAACwAAAAAAAAAAAAAAAAAvAQAAX3JlbHMvLnJlbHNQSwECLQAUAAYACAAA&#10;ACEAVOT1cGsDAAAWCwAADgAAAAAAAAAAAAAAAAAuAgAAZHJzL2Uyb0RvYy54bWxQSwECLQAUAAYA&#10;CAAAACEAI5LxJeAAAAAJAQAADwAAAAAAAAAAAAAAAADFBQAAZHJzL2Rvd25yZXYueG1sUEsFBgAA&#10;AAAEAAQA8wAAANIGAAAAAA==&#10;">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rrow: Notched Right 1" o:spid="_x0000_s1027" type="#_x0000_t94" style="position:absolute;top:5885;width:59436;height:1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OBKywAAAOIAAAAPAAAAZHJzL2Rvd25yZXYueG1sRI9Ba8JA&#10;FITvBf/D8oTe6kZTq6auIi0FoYdSjejxNftMgtm3Ibua6K/vCoUeh5n5hpkvO1OJCzWutKxgOIhA&#10;EGdWl5wrSLcfT1MQziNrrCyTgis5WC56D3NMtG35my4bn4sAYZeggsL7OpHSZQUZdANbEwfvaBuD&#10;Psgml7rBNsBNJUdR9CINlhwWCqzpraDstDkbBe5cHT63Lm13uUnj94PZ375+YqUe+93qFYSnzv+H&#10;/9prrSB+nk7G41k0gvulcAfk4hcAAP//AwBQSwECLQAUAAYACAAAACEA2+H2y+4AAACFAQAAEwAA&#10;AAAAAAAAAAAAAAAAAAAAW0NvbnRlbnRfVHlwZXNdLnhtbFBLAQItABQABgAIAAAAIQBa9CxbvwAA&#10;ABUBAAALAAAAAAAAAAAAAAAAAB8BAABfcmVscy8ucmVsc1BLAQItABQABgAIAAAAIQCAjOBKywAA&#10;AOIAAAAPAAAAAAAAAAAAAAAAAAcCAABkcnMvZG93bnJldi54bWxQSwUGAAAAAAMAAwC3AAAA/wIA&#10;AAAA&#10;" adj="21250" fillcolor="#009cde" strokecolor="#001721 [484]" strokeweight="1pt">
                        <v:fill opacity="31354f"/>
                      </v:shape>
                      <v:shape id="Arrow: Notched Right 1" o:spid="_x0000_s1028" type="#_x0000_t94" style="position:absolute;left:36761;top:10984;width:17384;height:151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RF7yAAAAOIAAAAPAAAAZHJzL2Rvd25yZXYueG1sRE/LasJA&#10;FN0L/sNwhe50ooHEpo5iS4VC8VHb7m8zt0kwcydkRhP/3lkILg/nvVj1phYXal1lWcF0EoEgzq2u&#10;uFDw870Zz0E4j6yxtkwKruRgtRwOFphp2/EXXY6+ECGEXYYKSu+bTEqXl2TQTWxDHLh/2xr0AbaF&#10;1C12IdzUchZFiTRYcWgosaG3kvLT8WwU5C497N+fp93pYHev9fa3+Jz9rZV6GvXrFxCeev8Q390f&#10;WkGcxGkyT+OwOVwKd0AubwAAAP//AwBQSwECLQAUAAYACAAAACEA2+H2y+4AAACFAQAAEwAAAAAA&#10;AAAAAAAAAAAAAAAAW0NvbnRlbnRfVHlwZXNdLnhtbFBLAQItABQABgAIAAAAIQBa9CxbvwAAABUB&#10;AAALAAAAAAAAAAAAAAAAAB8BAABfcmVscy8ucmVsc1BLAQItABQABgAIAAAAIQAeJRF7yAAAAOIA&#10;AAAPAAAAAAAAAAAAAAAAAAcCAABkcnMvZG93bnJldi54bWxQSwUGAAAAAAMAAwC3AAAA/AIAAAAA&#10;" adj="20661" fillcolor="#333f47 [2413]" strokecolor="#001721 [484]" strokeweight="1pt">
                        <v:fill opacity="20303f"/>
                      </v:shape>
                    </v:group>
                  </w:pict>
                </mc:Fallback>
              </mc:AlternateContent>
            </w:r>
            <w:r w:rsidRPr="00215F99">
              <w:t>Monitoring area</w:t>
            </w:r>
          </w:p>
        </w:tc>
        <w:tc>
          <w:tcPr>
            <w:tcW w:w="1170" w:type="dxa"/>
            <w:noWrap/>
            <w:hideMark/>
          </w:tcPr>
          <w:p w14:paraId="3EE40E32" w14:textId="77777777" w:rsidR="000E61A5" w:rsidRPr="00215F99" w:rsidRDefault="000E61A5" w:rsidP="00717966">
            <w:pPr>
              <w:pStyle w:val="TableHeading"/>
            </w:pPr>
            <w:r w:rsidRPr="00215F99">
              <w:t>Monitoring dimension</w:t>
            </w:r>
          </w:p>
        </w:tc>
        <w:tc>
          <w:tcPr>
            <w:tcW w:w="1080" w:type="dxa"/>
            <w:noWrap/>
            <w:hideMark/>
          </w:tcPr>
          <w:p w14:paraId="4E01598C" w14:textId="77777777" w:rsidR="000E61A5" w:rsidRPr="00215F99" w:rsidRDefault="000E61A5" w:rsidP="00717966">
            <w:pPr>
              <w:pStyle w:val="TableHeading"/>
            </w:pPr>
            <w:r w:rsidRPr="00215F99">
              <w:t>Outcome</w:t>
            </w:r>
          </w:p>
        </w:tc>
        <w:tc>
          <w:tcPr>
            <w:tcW w:w="630" w:type="dxa"/>
            <w:noWrap/>
          </w:tcPr>
          <w:p w14:paraId="24D53158" w14:textId="77777777" w:rsidR="000E61A5" w:rsidRPr="00215F99" w:rsidRDefault="000E61A5" w:rsidP="00717966">
            <w:pPr>
              <w:pStyle w:val="TableHeading"/>
            </w:pPr>
            <w:r w:rsidRPr="00215F99">
              <w:t>MT</w:t>
            </w:r>
          </w:p>
        </w:tc>
        <w:tc>
          <w:tcPr>
            <w:tcW w:w="2610" w:type="dxa"/>
          </w:tcPr>
          <w:p w14:paraId="21D2BC83" w14:textId="77777777" w:rsidR="000E61A5" w:rsidRPr="00215F99" w:rsidRDefault="000E61A5" w:rsidP="00717966">
            <w:pPr>
              <w:pStyle w:val="TableHeading"/>
            </w:pPr>
            <w:r w:rsidRPr="00215F99">
              <w:t>Description</w:t>
            </w:r>
          </w:p>
        </w:tc>
        <w:tc>
          <w:tcPr>
            <w:tcW w:w="540" w:type="dxa"/>
          </w:tcPr>
          <w:p w14:paraId="2C96A244" w14:textId="77777777" w:rsidR="000E61A5" w:rsidRPr="00215F99" w:rsidRDefault="000E61A5" w:rsidP="00717966">
            <w:pPr>
              <w:pStyle w:val="TableHeading"/>
            </w:pPr>
            <w:r w:rsidRPr="00215F99">
              <w:t>AM</w:t>
            </w:r>
          </w:p>
        </w:tc>
        <w:tc>
          <w:tcPr>
            <w:tcW w:w="540" w:type="dxa"/>
          </w:tcPr>
          <w:p w14:paraId="29DBD8C8" w14:textId="77777777" w:rsidR="000E61A5" w:rsidRPr="00215F99" w:rsidRDefault="000E61A5" w:rsidP="00717966">
            <w:pPr>
              <w:pStyle w:val="TableHeading"/>
            </w:pPr>
            <w:r w:rsidRPr="00215F99">
              <w:t>AZ</w:t>
            </w:r>
          </w:p>
        </w:tc>
        <w:tc>
          <w:tcPr>
            <w:tcW w:w="540" w:type="dxa"/>
          </w:tcPr>
          <w:p w14:paraId="72182E78" w14:textId="77777777" w:rsidR="000E61A5" w:rsidRPr="00215F99" w:rsidRDefault="000E61A5" w:rsidP="00717966">
            <w:pPr>
              <w:pStyle w:val="TableHeading"/>
            </w:pPr>
            <w:r w:rsidRPr="00215F99">
              <w:t>BA</w:t>
            </w:r>
          </w:p>
        </w:tc>
        <w:tc>
          <w:tcPr>
            <w:tcW w:w="540" w:type="dxa"/>
          </w:tcPr>
          <w:p w14:paraId="24BBAC2E" w14:textId="77777777" w:rsidR="000E61A5" w:rsidRPr="00215F99" w:rsidRDefault="000E61A5" w:rsidP="00717966">
            <w:pPr>
              <w:pStyle w:val="TableHeading"/>
            </w:pPr>
            <w:r w:rsidRPr="00215F99">
              <w:t>EG</w:t>
            </w:r>
          </w:p>
        </w:tc>
        <w:tc>
          <w:tcPr>
            <w:tcW w:w="550" w:type="dxa"/>
          </w:tcPr>
          <w:p w14:paraId="4EC91A7B" w14:textId="77777777" w:rsidR="000E61A5" w:rsidRPr="00215F99" w:rsidRDefault="000E61A5" w:rsidP="00717966">
            <w:pPr>
              <w:pStyle w:val="TableHeading"/>
            </w:pPr>
            <w:r w:rsidRPr="00215F99">
              <w:t>GE</w:t>
            </w:r>
          </w:p>
        </w:tc>
      </w:tr>
      <w:tr w:rsidR="000E61A5" w:rsidRPr="00215F99" w14:paraId="287C7FFB" w14:textId="77777777" w:rsidTr="00717966">
        <w:trPr>
          <w:trHeight w:val="290"/>
        </w:trPr>
        <w:tc>
          <w:tcPr>
            <w:tcW w:w="1170" w:type="dxa"/>
            <w:noWrap/>
            <w:hideMark/>
          </w:tcPr>
          <w:p w14:paraId="54879560" w14:textId="77777777" w:rsidR="000E61A5" w:rsidRPr="00215F99" w:rsidRDefault="000E61A5" w:rsidP="00717966">
            <w:pPr>
              <w:pStyle w:val="TableFirstColumn"/>
            </w:pPr>
            <w:r w:rsidRPr="00215F99">
              <w:rPr>
                <w:b/>
              </w:rPr>
              <w:t>A.</w:t>
            </w:r>
            <w:r w:rsidRPr="00215F99">
              <w:t xml:space="preserve"> Access &amp; participation</w:t>
            </w:r>
          </w:p>
        </w:tc>
        <w:tc>
          <w:tcPr>
            <w:tcW w:w="1170" w:type="dxa"/>
            <w:noWrap/>
            <w:hideMark/>
          </w:tcPr>
          <w:p w14:paraId="707A7191" w14:textId="77777777" w:rsidR="000E61A5" w:rsidRPr="00215F99" w:rsidRDefault="000E61A5" w:rsidP="00717966">
            <w:pPr>
              <w:pStyle w:val="TableText"/>
            </w:pPr>
            <w:r w:rsidRPr="00215F99">
              <w:rPr>
                <w:b/>
                <w:bCs/>
              </w:rPr>
              <w:t>A.1</w:t>
            </w:r>
            <w:r w:rsidRPr="00215F99">
              <w:t xml:space="preserve"> Access</w:t>
            </w:r>
          </w:p>
        </w:tc>
        <w:tc>
          <w:tcPr>
            <w:tcW w:w="1080" w:type="dxa"/>
            <w:noWrap/>
            <w:hideMark/>
          </w:tcPr>
          <w:p w14:paraId="2463C4E2" w14:textId="77777777" w:rsidR="000E61A5" w:rsidRPr="00215F99" w:rsidRDefault="000E61A5" w:rsidP="00717966">
            <w:pPr>
              <w:pStyle w:val="TableFirstColumn"/>
            </w:pPr>
            <w:r w:rsidRPr="00215F99">
              <w:t>A.1.1</w:t>
            </w:r>
          </w:p>
        </w:tc>
        <w:tc>
          <w:tcPr>
            <w:tcW w:w="630" w:type="dxa"/>
            <w:noWrap/>
          </w:tcPr>
          <w:p w14:paraId="2284D9A9" w14:textId="77777777" w:rsidR="000E61A5" w:rsidRPr="00215F99" w:rsidRDefault="000E61A5" w:rsidP="00717966">
            <w:pPr>
              <w:pStyle w:val="TableText"/>
            </w:pPr>
            <w:r w:rsidRPr="00215F99">
              <w:t>MT1</w:t>
            </w:r>
          </w:p>
        </w:tc>
        <w:tc>
          <w:tcPr>
            <w:tcW w:w="2610" w:type="dxa"/>
          </w:tcPr>
          <w:p w14:paraId="5D9EEDC7" w14:textId="77777777" w:rsidR="000E61A5" w:rsidRPr="00215F99" w:rsidRDefault="000E61A5" w:rsidP="00717966">
            <w:pPr>
              <w:pStyle w:val="TableText"/>
            </w:pPr>
            <w:r w:rsidRPr="00215F99">
              <w:t xml:space="preserve">Access to and attractiveness of initial VET for </w:t>
            </w:r>
            <w:r w:rsidRPr="00215F99">
              <w:rPr>
                <w:b/>
                <w:bCs/>
              </w:rPr>
              <w:t>youth</w:t>
            </w:r>
            <w:r w:rsidRPr="00215F99">
              <w:t>:</w:t>
            </w:r>
            <w:r w:rsidRPr="00215F99">
              <w:rPr>
                <w:b/>
                <w:bCs/>
              </w:rPr>
              <w:t xml:space="preserve"> all</w:t>
            </w:r>
          </w:p>
        </w:tc>
        <w:tc>
          <w:tcPr>
            <w:tcW w:w="540" w:type="dxa"/>
          </w:tcPr>
          <w:p w14:paraId="3514CCC7" w14:textId="77777777" w:rsidR="000E61A5" w:rsidRPr="00215F99" w:rsidRDefault="000E61A5" w:rsidP="00717966">
            <w:pPr>
              <w:pStyle w:val="TableText"/>
            </w:pPr>
            <w:r w:rsidRPr="00215F99">
              <w:t>50</w:t>
            </w:r>
          </w:p>
        </w:tc>
        <w:tc>
          <w:tcPr>
            <w:tcW w:w="540" w:type="dxa"/>
          </w:tcPr>
          <w:p w14:paraId="7A00ADD4" w14:textId="77777777" w:rsidR="000E61A5" w:rsidRPr="00215F99" w:rsidRDefault="000E61A5" w:rsidP="00717966">
            <w:pPr>
              <w:pStyle w:val="TableText"/>
            </w:pPr>
            <w:r w:rsidRPr="00215F99">
              <w:t>75</w:t>
            </w:r>
          </w:p>
        </w:tc>
        <w:tc>
          <w:tcPr>
            <w:tcW w:w="540" w:type="dxa"/>
          </w:tcPr>
          <w:p w14:paraId="07199F6C" w14:textId="77777777" w:rsidR="000E61A5" w:rsidRPr="00215F99" w:rsidRDefault="000E61A5" w:rsidP="00717966">
            <w:pPr>
              <w:pStyle w:val="TableText"/>
            </w:pPr>
            <w:r w:rsidRPr="00215F99">
              <w:t>55</w:t>
            </w:r>
          </w:p>
        </w:tc>
        <w:tc>
          <w:tcPr>
            <w:tcW w:w="540" w:type="dxa"/>
          </w:tcPr>
          <w:p w14:paraId="7D059A05" w14:textId="77777777" w:rsidR="000E61A5" w:rsidRPr="00215F99" w:rsidRDefault="000E61A5" w:rsidP="00717966">
            <w:pPr>
              <w:pStyle w:val="TableText"/>
            </w:pPr>
            <w:r w:rsidRPr="00215F99">
              <w:t>75</w:t>
            </w:r>
          </w:p>
        </w:tc>
        <w:tc>
          <w:tcPr>
            <w:tcW w:w="550" w:type="dxa"/>
          </w:tcPr>
          <w:p w14:paraId="5AF29CF6" w14:textId="77777777" w:rsidR="000E61A5" w:rsidRPr="00215F99" w:rsidRDefault="000E61A5" w:rsidP="00717966">
            <w:pPr>
              <w:pStyle w:val="TableText"/>
            </w:pPr>
            <w:r w:rsidRPr="00215F99">
              <w:t>90</w:t>
            </w:r>
          </w:p>
        </w:tc>
      </w:tr>
      <w:tr w:rsidR="000E61A5" w:rsidRPr="00215F99" w14:paraId="544CD5AB" w14:textId="77777777" w:rsidTr="00717966">
        <w:trPr>
          <w:trHeight w:val="290"/>
        </w:trPr>
        <w:tc>
          <w:tcPr>
            <w:tcW w:w="1170" w:type="dxa"/>
            <w:noWrap/>
            <w:hideMark/>
          </w:tcPr>
          <w:p w14:paraId="4B468844" w14:textId="77777777" w:rsidR="000E61A5" w:rsidRPr="00215F99" w:rsidRDefault="000E61A5" w:rsidP="00717966">
            <w:pPr>
              <w:pStyle w:val="TableFirstColumn"/>
            </w:pPr>
            <w:r w:rsidRPr="00215F99">
              <w:rPr>
                <w:b/>
              </w:rPr>
              <w:t>A.</w:t>
            </w:r>
            <w:r w:rsidRPr="00215F99">
              <w:t xml:space="preserve"> Access &amp; participation</w:t>
            </w:r>
          </w:p>
        </w:tc>
        <w:tc>
          <w:tcPr>
            <w:tcW w:w="1170" w:type="dxa"/>
            <w:noWrap/>
            <w:hideMark/>
          </w:tcPr>
          <w:p w14:paraId="6BE66880" w14:textId="77777777" w:rsidR="000E61A5" w:rsidRPr="00215F99" w:rsidRDefault="000E61A5" w:rsidP="00717966">
            <w:pPr>
              <w:pStyle w:val="TableText"/>
            </w:pPr>
            <w:r w:rsidRPr="00215F99">
              <w:rPr>
                <w:b/>
                <w:bCs/>
              </w:rPr>
              <w:t>A.1</w:t>
            </w:r>
            <w:r w:rsidRPr="00215F99">
              <w:t xml:space="preserve"> Access</w:t>
            </w:r>
          </w:p>
        </w:tc>
        <w:tc>
          <w:tcPr>
            <w:tcW w:w="1080" w:type="dxa"/>
            <w:noWrap/>
            <w:hideMark/>
          </w:tcPr>
          <w:p w14:paraId="0143E180" w14:textId="77777777" w:rsidR="000E61A5" w:rsidRPr="00215F99" w:rsidRDefault="000E61A5" w:rsidP="00717966">
            <w:pPr>
              <w:pStyle w:val="TableFirstColumn"/>
            </w:pPr>
            <w:r w:rsidRPr="00215F99">
              <w:t>A.1.1</w:t>
            </w:r>
          </w:p>
        </w:tc>
        <w:tc>
          <w:tcPr>
            <w:tcW w:w="630" w:type="dxa"/>
            <w:noWrap/>
            <w:hideMark/>
          </w:tcPr>
          <w:p w14:paraId="242EADAA" w14:textId="77777777" w:rsidR="000E61A5" w:rsidRPr="00215F99" w:rsidRDefault="000E61A5" w:rsidP="00717966">
            <w:pPr>
              <w:pStyle w:val="TableText"/>
            </w:pPr>
            <w:r w:rsidRPr="00215F99">
              <w:t>MT2</w:t>
            </w:r>
          </w:p>
        </w:tc>
        <w:tc>
          <w:tcPr>
            <w:tcW w:w="2610" w:type="dxa"/>
          </w:tcPr>
          <w:p w14:paraId="2DC91526" w14:textId="77777777" w:rsidR="000E61A5" w:rsidRPr="00215F99" w:rsidRDefault="000E61A5" w:rsidP="00717966">
            <w:pPr>
              <w:pStyle w:val="TableText"/>
            </w:pPr>
            <w:r w:rsidRPr="00215F99">
              <w:t xml:space="preserve">Access to and attractiveness of initial VET for </w:t>
            </w:r>
            <w:r w:rsidRPr="00215F99">
              <w:rPr>
                <w:b/>
                <w:bCs/>
              </w:rPr>
              <w:t>youth</w:t>
            </w:r>
            <w:r w:rsidRPr="00215F99">
              <w:t xml:space="preserve">: </w:t>
            </w:r>
            <w:r w:rsidRPr="00215F99">
              <w:rPr>
                <w:b/>
                <w:bCs/>
              </w:rPr>
              <w:t>females</w:t>
            </w:r>
          </w:p>
        </w:tc>
        <w:tc>
          <w:tcPr>
            <w:tcW w:w="540" w:type="dxa"/>
          </w:tcPr>
          <w:p w14:paraId="163D0F3D" w14:textId="77777777" w:rsidR="000E61A5" w:rsidRPr="00215F99" w:rsidRDefault="000E61A5" w:rsidP="00717966">
            <w:pPr>
              <w:pStyle w:val="TableText"/>
            </w:pPr>
            <w:r w:rsidRPr="00215F99">
              <w:t>50</w:t>
            </w:r>
          </w:p>
        </w:tc>
        <w:tc>
          <w:tcPr>
            <w:tcW w:w="540" w:type="dxa"/>
          </w:tcPr>
          <w:p w14:paraId="3F7E4A60" w14:textId="77777777" w:rsidR="000E61A5" w:rsidRPr="00215F99" w:rsidRDefault="000E61A5" w:rsidP="00717966">
            <w:pPr>
              <w:pStyle w:val="TableText"/>
            </w:pPr>
            <w:r w:rsidRPr="00215F99">
              <w:t>50</w:t>
            </w:r>
          </w:p>
        </w:tc>
        <w:tc>
          <w:tcPr>
            <w:tcW w:w="540" w:type="dxa"/>
          </w:tcPr>
          <w:p w14:paraId="6AF81156" w14:textId="77777777" w:rsidR="000E61A5" w:rsidRPr="00215F99" w:rsidRDefault="000E61A5" w:rsidP="00717966">
            <w:pPr>
              <w:pStyle w:val="TableText"/>
            </w:pPr>
            <w:r w:rsidRPr="00215F99">
              <w:t>64</w:t>
            </w:r>
          </w:p>
        </w:tc>
        <w:tc>
          <w:tcPr>
            <w:tcW w:w="540" w:type="dxa"/>
          </w:tcPr>
          <w:p w14:paraId="49BE0B46" w14:textId="77777777" w:rsidR="000E61A5" w:rsidRPr="00215F99" w:rsidRDefault="000E61A5" w:rsidP="00717966">
            <w:pPr>
              <w:pStyle w:val="TableText"/>
            </w:pPr>
            <w:r w:rsidRPr="00215F99">
              <w:t>38</w:t>
            </w:r>
          </w:p>
        </w:tc>
        <w:tc>
          <w:tcPr>
            <w:tcW w:w="550" w:type="dxa"/>
          </w:tcPr>
          <w:p w14:paraId="1AC36029" w14:textId="77777777" w:rsidR="000E61A5" w:rsidRPr="00215F99" w:rsidRDefault="000E61A5" w:rsidP="00717966">
            <w:pPr>
              <w:pStyle w:val="TableText"/>
            </w:pPr>
            <w:r w:rsidRPr="00215F99">
              <w:t>75</w:t>
            </w:r>
          </w:p>
        </w:tc>
      </w:tr>
      <w:tr w:rsidR="000E61A5" w:rsidRPr="00215F99" w14:paraId="069E2096" w14:textId="77777777" w:rsidTr="00717966">
        <w:trPr>
          <w:trHeight w:val="290"/>
        </w:trPr>
        <w:tc>
          <w:tcPr>
            <w:tcW w:w="1170" w:type="dxa"/>
            <w:noWrap/>
            <w:hideMark/>
          </w:tcPr>
          <w:p w14:paraId="22ADD39F" w14:textId="77777777" w:rsidR="000E61A5" w:rsidRPr="00215F99" w:rsidRDefault="000E61A5" w:rsidP="00717966">
            <w:pPr>
              <w:pStyle w:val="TableFirstColumn"/>
            </w:pPr>
            <w:r w:rsidRPr="00215F99">
              <w:rPr>
                <w:b/>
              </w:rPr>
              <w:t>A.</w:t>
            </w:r>
            <w:r w:rsidRPr="00215F99">
              <w:t xml:space="preserve"> Access &amp; participation</w:t>
            </w:r>
          </w:p>
        </w:tc>
        <w:tc>
          <w:tcPr>
            <w:tcW w:w="1170" w:type="dxa"/>
            <w:noWrap/>
            <w:hideMark/>
          </w:tcPr>
          <w:p w14:paraId="019C2DB8" w14:textId="77777777" w:rsidR="000E61A5" w:rsidRPr="00215F99" w:rsidRDefault="000E61A5" w:rsidP="00717966">
            <w:pPr>
              <w:pStyle w:val="TableText"/>
            </w:pPr>
            <w:r w:rsidRPr="00215F99">
              <w:rPr>
                <w:b/>
                <w:bCs/>
              </w:rPr>
              <w:t>A.1</w:t>
            </w:r>
            <w:r w:rsidRPr="00215F99">
              <w:t xml:space="preserve"> Access</w:t>
            </w:r>
          </w:p>
        </w:tc>
        <w:tc>
          <w:tcPr>
            <w:tcW w:w="1080" w:type="dxa"/>
            <w:noWrap/>
            <w:hideMark/>
          </w:tcPr>
          <w:p w14:paraId="5F928CBC" w14:textId="77777777" w:rsidR="000E61A5" w:rsidRPr="00215F99" w:rsidRDefault="000E61A5" w:rsidP="00717966">
            <w:pPr>
              <w:pStyle w:val="TableFirstColumn"/>
            </w:pPr>
            <w:r w:rsidRPr="00215F99">
              <w:t>A.1.1</w:t>
            </w:r>
          </w:p>
        </w:tc>
        <w:tc>
          <w:tcPr>
            <w:tcW w:w="630" w:type="dxa"/>
            <w:noWrap/>
            <w:hideMark/>
          </w:tcPr>
          <w:p w14:paraId="142DFE8A" w14:textId="77777777" w:rsidR="000E61A5" w:rsidRPr="00215F99" w:rsidRDefault="000E61A5" w:rsidP="00717966">
            <w:pPr>
              <w:pStyle w:val="TableText"/>
            </w:pPr>
            <w:r w:rsidRPr="00215F99">
              <w:t>MT3</w:t>
            </w:r>
          </w:p>
        </w:tc>
        <w:tc>
          <w:tcPr>
            <w:tcW w:w="2610" w:type="dxa"/>
          </w:tcPr>
          <w:p w14:paraId="438AA4D6" w14:textId="77777777" w:rsidR="000E61A5" w:rsidRPr="00215F99" w:rsidRDefault="000E61A5" w:rsidP="00717966">
            <w:pPr>
              <w:pStyle w:val="TableText"/>
            </w:pPr>
            <w:r w:rsidRPr="00215F99">
              <w:t xml:space="preserve">Access to and attractiveness of initial VET for </w:t>
            </w:r>
            <w:r w:rsidRPr="00215F99">
              <w:rPr>
                <w:b/>
                <w:bCs/>
              </w:rPr>
              <w:t>youth</w:t>
            </w:r>
            <w:r w:rsidRPr="00215F99">
              <w:t>:</w:t>
            </w:r>
            <w:r w:rsidRPr="00215F99">
              <w:rPr>
                <w:b/>
                <w:bCs/>
              </w:rPr>
              <w:t xml:space="preserve"> socio-economically disadvantaged</w:t>
            </w:r>
          </w:p>
        </w:tc>
        <w:tc>
          <w:tcPr>
            <w:tcW w:w="540" w:type="dxa"/>
          </w:tcPr>
          <w:p w14:paraId="38E28221" w14:textId="77777777" w:rsidR="000E61A5" w:rsidRPr="00215F99" w:rsidRDefault="000E61A5" w:rsidP="00717966">
            <w:pPr>
              <w:pStyle w:val="TableText"/>
            </w:pPr>
            <w:r w:rsidRPr="00215F99">
              <w:t>50</w:t>
            </w:r>
          </w:p>
        </w:tc>
        <w:tc>
          <w:tcPr>
            <w:tcW w:w="540" w:type="dxa"/>
          </w:tcPr>
          <w:p w14:paraId="64A70467" w14:textId="77777777" w:rsidR="000E61A5" w:rsidRPr="00215F99" w:rsidRDefault="000E61A5" w:rsidP="00717966">
            <w:pPr>
              <w:pStyle w:val="TableText"/>
            </w:pPr>
          </w:p>
        </w:tc>
        <w:tc>
          <w:tcPr>
            <w:tcW w:w="540" w:type="dxa"/>
          </w:tcPr>
          <w:p w14:paraId="7660CA24" w14:textId="77777777" w:rsidR="000E61A5" w:rsidRPr="00215F99" w:rsidRDefault="000E61A5" w:rsidP="00717966">
            <w:pPr>
              <w:pStyle w:val="TableText"/>
            </w:pPr>
            <w:r w:rsidRPr="00215F99">
              <w:t>50</w:t>
            </w:r>
          </w:p>
        </w:tc>
        <w:tc>
          <w:tcPr>
            <w:tcW w:w="540" w:type="dxa"/>
          </w:tcPr>
          <w:p w14:paraId="7A37C867" w14:textId="77777777" w:rsidR="000E61A5" w:rsidRPr="00215F99" w:rsidRDefault="000E61A5" w:rsidP="00717966">
            <w:pPr>
              <w:pStyle w:val="TableText"/>
            </w:pPr>
            <w:r w:rsidRPr="00215F99">
              <w:t>75</w:t>
            </w:r>
          </w:p>
        </w:tc>
        <w:tc>
          <w:tcPr>
            <w:tcW w:w="550" w:type="dxa"/>
          </w:tcPr>
          <w:p w14:paraId="4910050A" w14:textId="77777777" w:rsidR="000E61A5" w:rsidRPr="00215F99" w:rsidRDefault="000E61A5" w:rsidP="00717966">
            <w:pPr>
              <w:pStyle w:val="TableText"/>
            </w:pPr>
            <w:r w:rsidRPr="00215F99">
              <w:t>75</w:t>
            </w:r>
          </w:p>
        </w:tc>
      </w:tr>
    </w:tbl>
    <w:p w14:paraId="7B54C6B2" w14:textId="77777777" w:rsidR="000E61A5" w:rsidRPr="00215F99" w:rsidRDefault="000E61A5" w:rsidP="000E61A5">
      <w:pPr>
        <w:pStyle w:val="BodyText"/>
      </w:pPr>
    </w:p>
    <w:p w14:paraId="7E57A14F" w14:textId="77777777" w:rsidR="000E61A5" w:rsidRPr="00215F99" w:rsidRDefault="000E61A5" w:rsidP="000E61A5">
      <w:pPr>
        <w:pStyle w:val="BodyText"/>
      </w:pPr>
      <w:r w:rsidRPr="00215F99">
        <w:t xml:space="preserve">In this sense, in addition to evidence in the form of data, the Torino Process monitoring provides </w:t>
      </w:r>
      <w:r w:rsidRPr="00215F99">
        <w:rPr>
          <w:b/>
          <w:bCs/>
        </w:rPr>
        <w:t>analytical outputs</w:t>
      </w:r>
      <w:r w:rsidRPr="00215F99">
        <w:t xml:space="preserve"> derived from this evidence following the logic presented in Table 7. These analytical outputs include:</w:t>
      </w:r>
    </w:p>
    <w:p w14:paraId="02D43D47" w14:textId="77777777" w:rsidR="000E61A5" w:rsidRPr="00215F99" w:rsidRDefault="000E61A5" w:rsidP="000E61A5">
      <w:pPr>
        <w:pStyle w:val="BodyText"/>
        <w:numPr>
          <w:ilvl w:val="0"/>
          <w:numId w:val="25"/>
        </w:numPr>
      </w:pPr>
      <w:r w:rsidRPr="00215F99">
        <w:rPr>
          <w:b/>
          <w:bCs/>
        </w:rPr>
        <w:t>Annual contributions</w:t>
      </w:r>
      <w:r w:rsidRPr="00215F99">
        <w:t xml:space="preserve"> to the ETF </w:t>
      </w:r>
      <w:r w:rsidRPr="00215F99">
        <w:rPr>
          <w:b/>
          <w:bCs/>
        </w:rPr>
        <w:t>country fiches</w:t>
      </w:r>
      <w:r w:rsidRPr="00215F99">
        <w:t xml:space="preserve"> for each ETF partner country, which </w:t>
      </w:r>
      <w:r w:rsidRPr="00215F99">
        <w:rPr>
          <w:sz w:val="22"/>
        </w:rPr>
        <w:t>summari</w:t>
      </w:r>
      <w:r w:rsidRPr="00215F99">
        <w:t>s</w:t>
      </w:r>
      <w:r w:rsidRPr="00215F99">
        <w:rPr>
          <w:sz w:val="22"/>
        </w:rPr>
        <w:t>e the results of</w:t>
      </w:r>
      <w:r w:rsidRPr="00215F99">
        <w:t xml:space="preserve"> ETF</w:t>
      </w:r>
      <w:r w:rsidRPr="00215F99">
        <w:rPr>
          <w:sz w:val="22"/>
        </w:rPr>
        <w:t xml:space="preserve"> monitoring for individual countries</w:t>
      </w:r>
      <w:r w:rsidRPr="00215F99">
        <w:t>, based on KIESE and Torino Process monitoring data.</w:t>
      </w:r>
    </w:p>
    <w:p w14:paraId="233F7DB9" w14:textId="77777777" w:rsidR="000E61A5" w:rsidRPr="00215F99" w:rsidRDefault="000E61A5" w:rsidP="000E61A5">
      <w:pPr>
        <w:pStyle w:val="BodyText"/>
        <w:numPr>
          <w:ilvl w:val="0"/>
          <w:numId w:val="42"/>
        </w:numPr>
      </w:pPr>
      <w:r w:rsidRPr="00215F99">
        <w:t xml:space="preserve">A </w:t>
      </w:r>
      <w:r w:rsidRPr="00215F99">
        <w:rPr>
          <w:b/>
          <w:bCs/>
        </w:rPr>
        <w:t>cross-country monitoring report</w:t>
      </w:r>
      <w:r w:rsidRPr="00215F99">
        <w:t xml:space="preserve"> on developments in education, skills, and employment. offers an overview of key trends and developments in education, training, and employment across ETF partner countries</w:t>
      </w:r>
    </w:p>
    <w:p w14:paraId="55C6ED23" w14:textId="77777777" w:rsidR="000E61A5" w:rsidRPr="00215F99" w:rsidRDefault="000E61A5" w:rsidP="000E61A5">
      <w:pPr>
        <w:pStyle w:val="BodyText"/>
        <w:numPr>
          <w:ilvl w:val="0"/>
          <w:numId w:val="42"/>
        </w:numPr>
      </w:pPr>
      <w:r w:rsidRPr="00215F99">
        <w:rPr>
          <w:b/>
          <w:bCs/>
        </w:rPr>
        <w:t>Thematic monitoring reports</w:t>
      </w:r>
      <w:r w:rsidRPr="00215F99">
        <w:t xml:space="preserve"> which focus on specific themes or challenges relevant to education and training systems in ETF partner countries.</w:t>
      </w:r>
    </w:p>
    <w:p w14:paraId="4B843AC5" w14:textId="77777777" w:rsidR="000E61A5" w:rsidRPr="00215F99" w:rsidRDefault="000E61A5" w:rsidP="000E61A5">
      <w:pPr>
        <w:pStyle w:val="BodyText"/>
      </w:pPr>
      <w:r w:rsidRPr="00215F99">
        <w:t xml:space="preserve">All analytical outputs of the Torino Process monitoring until 2024 can be found here: </w:t>
      </w:r>
      <w:hyperlink r:id="rId15" w:history="1">
        <w:r w:rsidRPr="00215F99">
          <w:rPr>
            <w:rStyle w:val="Hyperlink"/>
          </w:rPr>
          <w:t>https://bit.ly/43rhNpI</w:t>
        </w:r>
      </w:hyperlink>
      <w:r w:rsidRPr="00215F99">
        <w:t xml:space="preserve">. </w:t>
      </w:r>
    </w:p>
    <w:p w14:paraId="2ACF765A" w14:textId="77777777" w:rsidR="000E61A5" w:rsidRPr="00215F99" w:rsidRDefault="000E61A5" w:rsidP="000E61A5">
      <w:pPr>
        <w:pStyle w:val="BodyText"/>
      </w:pPr>
      <w:r w:rsidRPr="00215F99">
        <w:t>In addition to assessing system performance, the Torino Process monitoring tracks the international comparability and reliability of the evidence used to calculate the System Performance Indices (SPIs). In 2025, this is done through two supplementary indices, each ranging from 0 to 100, which measure different aspects of the data.</w:t>
      </w:r>
    </w:p>
    <w:p w14:paraId="73FC2BEA" w14:textId="77777777" w:rsidR="000E61A5" w:rsidRPr="00215F99" w:rsidRDefault="000E61A5" w:rsidP="000E61A5">
      <w:pPr>
        <w:pStyle w:val="BodyText"/>
      </w:pPr>
      <w:r w:rsidRPr="00215F99">
        <w:t>Figure 1 provides a sample of these reliability indices for a country chosen at random from the Torino Process sample. Together, the indices are meant to provide a rather comprehensive view of not only how well the education and training systems perform but also the reliability and comparability of the data behind the monitoring results.</w:t>
      </w:r>
    </w:p>
    <w:p w14:paraId="2C2DAC51" w14:textId="77777777" w:rsidR="000E61A5" w:rsidRPr="00215F99" w:rsidRDefault="000E61A5" w:rsidP="000E61A5">
      <w:pPr>
        <w:pStyle w:val="TableTitle"/>
      </w:pPr>
      <w:r w:rsidRPr="00215F99">
        <w:t>Figure 1. Sample of Torino Process evidence reliability indices for a country</w:t>
      </w:r>
    </w:p>
    <w:p w14:paraId="6F386016" w14:textId="77777777" w:rsidR="000E61A5" w:rsidRPr="00215F99" w:rsidRDefault="000E61A5" w:rsidP="000E61A5">
      <w:pPr>
        <w:jc w:val="center"/>
      </w:pPr>
      <w:r w:rsidRPr="00215F99">
        <w:rPr>
          <w:noProof/>
        </w:rPr>
        <w:drawing>
          <wp:inline distT="0" distB="0" distL="0" distR="0" wp14:anchorId="57C0ACE2" wp14:editId="15B5416E">
            <wp:extent cx="5731510" cy="1371600"/>
            <wp:effectExtent l="0" t="0" r="2540" b="0"/>
            <wp:docPr id="309760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b="32752"/>
                    <a:stretch/>
                  </pic:blipFill>
                  <pic:spPr bwMode="auto">
                    <a:xfrm>
                      <a:off x="0" y="0"/>
                      <a:ext cx="5731510" cy="1371600"/>
                    </a:xfrm>
                    <a:prstGeom prst="rect">
                      <a:avLst/>
                    </a:prstGeom>
                    <a:noFill/>
                    <a:ln>
                      <a:noFill/>
                    </a:ln>
                    <a:extLst>
                      <a:ext uri="{53640926-AAD7-44D8-BBD7-CCE9431645EC}">
                        <a14:shadowObscured xmlns:a14="http://schemas.microsoft.com/office/drawing/2010/main"/>
                      </a:ext>
                    </a:extLst>
                  </pic:spPr>
                </pic:pic>
              </a:graphicData>
            </a:graphic>
          </wp:inline>
        </w:drawing>
      </w:r>
    </w:p>
    <w:p w14:paraId="60CB22D4" w14:textId="77777777" w:rsidR="000E61A5" w:rsidRPr="00215F99" w:rsidRDefault="000E61A5" w:rsidP="000E61A5">
      <w:pPr>
        <w:pStyle w:val="BodyText"/>
      </w:pPr>
      <w:bookmarkStart w:id="28" w:name="_Toc103768177"/>
      <w:bookmarkStart w:id="29" w:name="_TOC_250006"/>
      <w:r w:rsidRPr="00215F99">
        <w:t xml:space="preserve">The </w:t>
      </w:r>
      <w:r w:rsidRPr="00215F99">
        <w:rPr>
          <w:b/>
          <w:bCs/>
        </w:rPr>
        <w:t>International Comparability Index (ICI)</w:t>
      </w:r>
      <w:r w:rsidRPr="00215F99">
        <w:t xml:space="preserve"> assesses the extent to which the results of a country are based on internationally comparable data. It is calculated by measuring how many of the intended quantitative indicators are available for a country across the entire monitoring framework. The more indicators available, the more comparable the results, with 100 being the highest possible score.</w:t>
      </w:r>
    </w:p>
    <w:p w14:paraId="6C03FC26" w14:textId="77777777" w:rsidR="000E61A5" w:rsidRPr="00215F99" w:rsidRDefault="000E61A5" w:rsidP="000E61A5">
      <w:pPr>
        <w:pStyle w:val="BodyText"/>
      </w:pPr>
      <w:r w:rsidRPr="00215F99">
        <w:lastRenderedPageBreak/>
        <w:t xml:space="preserve">The </w:t>
      </w:r>
      <w:r w:rsidRPr="00215F99">
        <w:rPr>
          <w:b/>
          <w:bCs/>
        </w:rPr>
        <w:t>Bias Propensity Index (BPI)</w:t>
      </w:r>
      <w:r w:rsidRPr="00215F99">
        <w:t xml:space="preserve"> measures the risk of bias in the data by assessing how many of the SPIs for a country are based on internationally comparable data. It tracks what proportion of the 82 SPIs for a country are calculated using quantitative indicators and how many rely on self-assessment responses. A higher BPI score (with 100 being the maximum) indicates a lower the risk of bias, as it means that more of the SPIs are based on quantitative data. Conversely, a lower BPI score suggests a higher risk of bias, since more of the SPIs rely on subjective self-assessments rather than objective data.</w:t>
      </w:r>
    </w:p>
    <w:p w14:paraId="6FED358A" w14:textId="77777777" w:rsidR="000E61A5" w:rsidRPr="00215F99" w:rsidRDefault="000E61A5" w:rsidP="000E61A5">
      <w:pPr>
        <w:pStyle w:val="Heading1"/>
      </w:pPr>
      <w:bookmarkStart w:id="30" w:name="_Toc198827574"/>
      <w:r w:rsidRPr="00215F99">
        <w:t>Torino Process review strand</w:t>
      </w:r>
      <w:bookmarkEnd w:id="28"/>
      <w:bookmarkEnd w:id="29"/>
      <w:bookmarkEnd w:id="30"/>
    </w:p>
    <w:p w14:paraId="7A2BD329" w14:textId="77777777" w:rsidR="000E61A5" w:rsidRPr="00215F99" w:rsidRDefault="000E61A5" w:rsidP="000E61A5">
      <w:pPr>
        <w:pStyle w:val="Heading2"/>
      </w:pPr>
      <w:bookmarkStart w:id="31" w:name="_TOC_250005"/>
      <w:bookmarkStart w:id="32" w:name="_Toc198827575"/>
      <w:bookmarkStart w:id="33" w:name="_Toc103768178"/>
      <w:bookmarkEnd w:id="31"/>
      <w:r w:rsidRPr="00215F99">
        <w:t>Scope and purpose of reviews</w:t>
      </w:r>
      <w:bookmarkEnd w:id="32"/>
    </w:p>
    <w:p w14:paraId="7E50B89D" w14:textId="77777777" w:rsidR="000E61A5" w:rsidRPr="00215F99" w:rsidRDefault="000E61A5" w:rsidP="000E61A5">
      <w:pPr>
        <w:pStyle w:val="BodyText"/>
      </w:pPr>
      <w:r w:rsidRPr="00215F99">
        <w:t>The review strand of the Torino Process emphasises an in-depth, qualitative exploration of policy-related issues in education and training through stakeholder dialogue and consultation. It maintains the depth, qualitative insights, and collaborative approach that characterised earlier (“classic”) Torino Process cycles, which many countries have valued over the years and explicitly requested since 2023.</w:t>
      </w:r>
    </w:p>
    <w:p w14:paraId="79C74E73" w14:textId="77777777" w:rsidR="000E61A5" w:rsidRPr="00215F99" w:rsidRDefault="000E61A5" w:rsidP="000E61A5">
      <w:pPr>
        <w:pStyle w:val="BodyText"/>
      </w:pPr>
      <w:r w:rsidRPr="00215F99">
        <w:t xml:space="preserve">The Torino Process reviews identify and analyse policies, practices, and institutional arrangements that influence what VET and broader adult learning deliver in key areas such as access, quality, and system management and organisation. Their purpose is to complement system performance monitoring by shifting attention from outcomes to the underlying policies and practices that shape them. </w:t>
      </w:r>
    </w:p>
    <w:p w14:paraId="6E1995E0" w14:textId="77777777" w:rsidR="000E61A5" w:rsidRPr="00215F99" w:rsidRDefault="000E61A5" w:rsidP="000E61A5">
      <w:pPr>
        <w:pStyle w:val="BodyText"/>
      </w:pPr>
      <w:r w:rsidRPr="00215F99">
        <w:t>In this sense, while the monitoring strand of the Torino Process tracks how effectively education and training systems deliver on commitments to learners and stakeholders, the policy reviews examine the broader policy context, specifically how systems are organised and how policies and practices support—or hinder—the fulfilment of those commitments.</w:t>
      </w:r>
    </w:p>
    <w:p w14:paraId="66979534" w14:textId="77777777" w:rsidR="000E61A5" w:rsidRPr="00215F99" w:rsidRDefault="000E61A5" w:rsidP="000E61A5">
      <w:pPr>
        <w:pStyle w:val="BodyText"/>
      </w:pPr>
      <w:r w:rsidRPr="00215F99">
        <w:t>Naturally, within this broad conceptual scope, the needs and expectations of countries undertaking policy reviews may vary according to their national contexts, policy priorities, and aspirations. The reviews accommodate this diversity, but within the thematic boundaries established by the Torino Process monitoring framework.</w:t>
      </w:r>
    </w:p>
    <w:p w14:paraId="6043DC35" w14:textId="77777777" w:rsidR="000E61A5" w:rsidRPr="00215F99" w:rsidRDefault="000E61A5" w:rsidP="000E61A5">
      <w:pPr>
        <w:pStyle w:val="BodyText"/>
      </w:pPr>
      <w:r w:rsidRPr="00215F99">
        <w:t xml:space="preserve">These boundaries mean that the review themes typically fall within the three major policy areas – access, quality, and system organisation – and may address specific dimensions such as access, completion, quality and relevance, responsiveness, or system management and organisation (including resources). </w:t>
      </w:r>
    </w:p>
    <w:p w14:paraId="2663C1CF" w14:textId="77777777" w:rsidR="000E61A5" w:rsidRPr="00215F99" w:rsidRDefault="000E61A5" w:rsidP="000E61A5">
      <w:pPr>
        <w:pStyle w:val="BodyText"/>
      </w:pPr>
      <w:r w:rsidRPr="00215F99">
        <w:t xml:space="preserve">Within these themes, the reviews may also focus on specific groups of strategic importance to countries, such as youth, adults, female learners, socioeconomically disadvantaged youth, and adults at risk of exclusion due to low or no formal education. </w:t>
      </w:r>
    </w:p>
    <w:p w14:paraId="5C0EF2E5" w14:textId="77777777" w:rsidR="000E61A5" w:rsidRPr="00215F99" w:rsidRDefault="000E61A5" w:rsidP="000E61A5">
      <w:pPr>
        <w:pStyle w:val="BodyText"/>
      </w:pPr>
      <w:r w:rsidRPr="00215F99">
        <w:t>Ultimately, the Torino Process policy reviews aim to identify areas for improvement, helping education and training systems better meet the lifelong needs of all learners, irrespective of age or circumstance.</w:t>
      </w:r>
    </w:p>
    <w:p w14:paraId="44892D15" w14:textId="77777777" w:rsidR="000E61A5" w:rsidRPr="00215F99" w:rsidRDefault="000E61A5" w:rsidP="000E61A5">
      <w:pPr>
        <w:pStyle w:val="Heading2"/>
      </w:pPr>
      <w:bookmarkStart w:id="34" w:name="_TOC_250003"/>
      <w:bookmarkStart w:id="35" w:name="_Toc103768180"/>
      <w:bookmarkStart w:id="36" w:name="_Toc198827576"/>
      <w:bookmarkEnd w:id="33"/>
      <w:r w:rsidRPr="00215F99">
        <w:t>Process and deliverables</w:t>
      </w:r>
      <w:bookmarkEnd w:id="34"/>
      <w:bookmarkEnd w:id="35"/>
      <w:bookmarkEnd w:id="36"/>
    </w:p>
    <w:p w14:paraId="5D935C10" w14:textId="77777777" w:rsidR="000E61A5" w:rsidRPr="00215F99" w:rsidRDefault="000E61A5" w:rsidP="000E61A5">
      <w:pPr>
        <w:pStyle w:val="BodyText"/>
      </w:pPr>
      <w:r w:rsidRPr="00215F99">
        <w:t>The Torino Process policy reviews are designed to be demand-driven, voluntary, and participatory: they take place in close cooperation with countries through site visits, consultations, and other formats of dialogue and co-creation of policy insights and action.</w:t>
      </w:r>
    </w:p>
    <w:p w14:paraId="793FBF0E" w14:textId="77777777" w:rsidR="000E61A5" w:rsidRPr="00215F99" w:rsidRDefault="000E61A5" w:rsidP="000E61A5">
      <w:pPr>
        <w:pStyle w:val="BodyText"/>
      </w:pPr>
      <w:r w:rsidRPr="00215F99">
        <w:t xml:space="preserve">Each review consists of four phases: review launch, desk research, site visits, and reporting with validation. These phases are preceded by a </w:t>
      </w:r>
      <w:r w:rsidRPr="00215F99">
        <w:rPr>
          <w:b/>
          <w:bCs/>
        </w:rPr>
        <w:t>period of preparation</w:t>
      </w:r>
      <w:r w:rsidRPr="00215F99">
        <w:t xml:space="preserve"> which includes the formal expression of interest by the country, agreement on the theme and timing of the review, and the nomination of a national coordinator for the review. </w:t>
      </w:r>
    </w:p>
    <w:p w14:paraId="1D9175D9" w14:textId="77777777" w:rsidR="000E61A5" w:rsidRPr="00215F99" w:rsidRDefault="000E61A5" w:rsidP="000E61A5">
      <w:pPr>
        <w:pStyle w:val="BodyText"/>
      </w:pPr>
      <w:r w:rsidRPr="00215F99">
        <w:lastRenderedPageBreak/>
        <w:t>The phases of the policy review are as follows:</w:t>
      </w:r>
    </w:p>
    <w:p w14:paraId="7062BFC0" w14:textId="77777777" w:rsidR="000E61A5" w:rsidRPr="000E61A5" w:rsidRDefault="000E61A5" w:rsidP="000E61A5">
      <w:pPr>
        <w:pStyle w:val="Heading3"/>
        <w:rPr>
          <w:lang w:val="en-US"/>
        </w:rPr>
      </w:pPr>
      <w:bookmarkStart w:id="37" w:name="_Toc198827577"/>
      <w:r w:rsidRPr="000E61A5">
        <w:rPr>
          <w:lang w:val="en-US"/>
        </w:rPr>
        <w:t>PHASE ONE: Review launch</w:t>
      </w:r>
      <w:bookmarkEnd w:id="37"/>
    </w:p>
    <w:p w14:paraId="17631240" w14:textId="77777777" w:rsidR="000E61A5" w:rsidRPr="00215F99" w:rsidRDefault="000E61A5" w:rsidP="000E61A5">
      <w:pPr>
        <w:pStyle w:val="BodyText"/>
      </w:pPr>
      <w:r w:rsidRPr="00215F99">
        <w:t>In communication with the national coordinator, this phase focuses on:</w:t>
      </w:r>
    </w:p>
    <w:p w14:paraId="4EBFF17F" w14:textId="77777777" w:rsidR="000E61A5" w:rsidRPr="00215F99" w:rsidRDefault="000E61A5" w:rsidP="000E61A5">
      <w:pPr>
        <w:pStyle w:val="BodyText"/>
        <w:numPr>
          <w:ilvl w:val="0"/>
          <w:numId w:val="27"/>
        </w:numPr>
      </w:pPr>
      <w:r w:rsidRPr="00215F99">
        <w:t xml:space="preserve">Forming the </w:t>
      </w:r>
      <w:r w:rsidRPr="00215F99">
        <w:rPr>
          <w:b/>
          <w:bCs/>
        </w:rPr>
        <w:t>review team</w:t>
      </w:r>
      <w:r w:rsidRPr="00215F99">
        <w:t>. The team can consist of not more than five members: three national and international experts depending on the chosen themes (of which one lead reviewer/rapporteur), and two ETF representatives, of which one could be the ETF liaison for the country under review. The experts are chosen by the ETF, in communication with the country. The Review team works closely with the nominated national coordinator and members of the reference group (if there is any) during the review.</w:t>
      </w:r>
      <w:r w:rsidRPr="00215F99">
        <w:tab/>
      </w:r>
    </w:p>
    <w:p w14:paraId="34A08395" w14:textId="77777777" w:rsidR="000E61A5" w:rsidRPr="00215F99" w:rsidRDefault="000E61A5" w:rsidP="000E61A5">
      <w:pPr>
        <w:pStyle w:val="BodyText"/>
        <w:numPr>
          <w:ilvl w:val="0"/>
          <w:numId w:val="27"/>
        </w:numPr>
      </w:pPr>
      <w:r w:rsidRPr="00215F99">
        <w:t xml:space="preserve">Organising a </w:t>
      </w:r>
      <w:r w:rsidRPr="00215F99">
        <w:rPr>
          <w:b/>
          <w:bCs/>
        </w:rPr>
        <w:t>review launch event</w:t>
      </w:r>
      <w:r w:rsidRPr="00215F99">
        <w:t xml:space="preserve"> to inform stakeholders about the review, gather input on their perspectives and expectations, and establish a national reference group, if required. Discussion of stakeholders to be involved can be found in the next section.</w:t>
      </w:r>
    </w:p>
    <w:p w14:paraId="0CE4BAEE" w14:textId="77777777" w:rsidR="000E61A5" w:rsidRPr="000E61A5" w:rsidRDefault="000E61A5" w:rsidP="000E61A5">
      <w:pPr>
        <w:pStyle w:val="Heading3"/>
        <w:rPr>
          <w:lang w:val="en-US"/>
        </w:rPr>
      </w:pPr>
      <w:bookmarkStart w:id="38" w:name="_Toc198827578"/>
      <w:r w:rsidRPr="000E61A5">
        <w:rPr>
          <w:lang w:val="en-US"/>
        </w:rPr>
        <w:t>PHASE TWO: Desk research</w:t>
      </w:r>
      <w:bookmarkEnd w:id="38"/>
    </w:p>
    <w:p w14:paraId="3DE40119" w14:textId="77777777" w:rsidR="000E61A5" w:rsidRPr="00215F99" w:rsidRDefault="000E61A5" w:rsidP="000E61A5">
      <w:pPr>
        <w:pStyle w:val="BodyText"/>
      </w:pPr>
      <w:r w:rsidRPr="00215F99">
        <w:t>This phase involves the review of primary and secondary evidence pertaining to the theme. National and international experts, in coordination with the review team, gather and assess documentation related to career guidance systems, active labour market policies, qualification frameworks, skills recognition/validation, and more.</w:t>
      </w:r>
    </w:p>
    <w:p w14:paraId="6F0ADE3E" w14:textId="77777777" w:rsidR="000E61A5" w:rsidRPr="00215F99" w:rsidRDefault="000E61A5" w:rsidP="000E61A5">
      <w:pPr>
        <w:pStyle w:val="BodyText"/>
      </w:pPr>
      <w:r w:rsidRPr="00215F99">
        <w:t xml:space="preserve">The phase concludes with the delivery of a short </w:t>
      </w:r>
      <w:r w:rsidRPr="00215F99">
        <w:rPr>
          <w:b/>
          <w:bCs/>
        </w:rPr>
        <w:t>issues paper</w:t>
      </w:r>
      <w:r w:rsidRPr="00215F99">
        <w:t xml:space="preserve"> which summarises the findings and formulates questions that will guide the site visits. Amendments may be introduced following feedback from the national coordinator in coordination with the other members of the review team.</w:t>
      </w:r>
    </w:p>
    <w:p w14:paraId="0EFCD947" w14:textId="77777777" w:rsidR="000E61A5" w:rsidRPr="00215F99" w:rsidRDefault="000E61A5" w:rsidP="000E61A5">
      <w:pPr>
        <w:pStyle w:val="BodyText"/>
      </w:pPr>
      <w:r w:rsidRPr="00215F99">
        <w:t>The issues paper describes a preliminary selection of hypotheses and policy challenges for further exploration. The issues paper will be sent to the country for verification and consultation ahead of the site visits. It may also be used as part of an information package for stakeholders which they will receive ahead of being interviewed in the course of the site visits.</w:t>
      </w:r>
    </w:p>
    <w:p w14:paraId="152829E0" w14:textId="77777777" w:rsidR="000E61A5" w:rsidRPr="00215F99" w:rsidRDefault="000E61A5" w:rsidP="000E61A5">
      <w:pPr>
        <w:pStyle w:val="BodyText"/>
      </w:pPr>
      <w:r w:rsidRPr="00215F99">
        <w:t>The issues paper may also include a questionnaire for the country, as well as targeted requests for supplementary data in case the documents provided so far do not supply all the needed information.</w:t>
      </w:r>
    </w:p>
    <w:p w14:paraId="40DB28E0" w14:textId="77777777" w:rsidR="000E61A5" w:rsidRPr="000E61A5" w:rsidRDefault="000E61A5" w:rsidP="000E61A5">
      <w:pPr>
        <w:pStyle w:val="Heading3"/>
        <w:rPr>
          <w:lang w:val="en-US"/>
        </w:rPr>
      </w:pPr>
      <w:bookmarkStart w:id="39" w:name="_Toc198827579"/>
      <w:r w:rsidRPr="000E61A5">
        <w:rPr>
          <w:lang w:val="en-US"/>
        </w:rPr>
        <w:t>PHASE THREE: Site visits</w:t>
      </w:r>
      <w:bookmarkEnd w:id="39"/>
    </w:p>
    <w:p w14:paraId="32BC038D" w14:textId="77777777" w:rsidR="000E61A5" w:rsidRPr="00215F99" w:rsidRDefault="000E61A5" w:rsidP="000E61A5">
      <w:pPr>
        <w:pStyle w:val="BodyText"/>
      </w:pPr>
      <w:r w:rsidRPr="00215F99">
        <w:t>Building on the desk research, the site visits aim to:</w:t>
      </w:r>
    </w:p>
    <w:p w14:paraId="71E0FA75" w14:textId="77777777" w:rsidR="000E61A5" w:rsidRPr="00215F99" w:rsidRDefault="000E61A5" w:rsidP="000E61A5">
      <w:pPr>
        <w:pStyle w:val="BodyText"/>
        <w:numPr>
          <w:ilvl w:val="0"/>
          <w:numId w:val="28"/>
        </w:numPr>
      </w:pPr>
      <w:r w:rsidRPr="00215F99">
        <w:t>Validate or refine the preliminary findings.</w:t>
      </w:r>
    </w:p>
    <w:p w14:paraId="5EF54A38" w14:textId="77777777" w:rsidR="000E61A5" w:rsidRPr="00215F99" w:rsidRDefault="000E61A5" w:rsidP="000E61A5">
      <w:pPr>
        <w:pStyle w:val="BodyText"/>
        <w:numPr>
          <w:ilvl w:val="0"/>
          <w:numId w:val="28"/>
        </w:numPr>
      </w:pPr>
      <w:r w:rsidRPr="00215F99">
        <w:t>Engage the review team directly with key stakeholders to discuss their experiences, tentative review findings, and/or any other matter of importance to advancing the analysis for the review.</w:t>
      </w:r>
    </w:p>
    <w:p w14:paraId="032D3FF5" w14:textId="77777777" w:rsidR="000E61A5" w:rsidRPr="00215F99" w:rsidRDefault="000E61A5" w:rsidP="000E61A5">
      <w:pPr>
        <w:pStyle w:val="BodyText"/>
      </w:pPr>
      <w:r w:rsidRPr="00215F99">
        <w:t>The list of site visits may include any counterpart deemed of relevance for the review, such as national and regional institutions, providers, social partners and civil society organisations, practitioners, students, etc. The list is being elaborated in consultation with the country. The country and the national expert on the review team have a key role in developing this list, especially when the review team may not be aware which counterpart may be the best suited to provide information on a given topic or issue of interest.</w:t>
      </w:r>
    </w:p>
    <w:p w14:paraId="79FB45E9" w14:textId="77777777" w:rsidR="000E61A5" w:rsidRPr="00215F99" w:rsidRDefault="000E61A5" w:rsidP="000E61A5">
      <w:pPr>
        <w:pStyle w:val="BodyText"/>
      </w:pPr>
      <w:r w:rsidRPr="00215F99">
        <w:t xml:space="preserve">The main objective of the site visits is to gather additional information, contextualise the existing information, and ensure that the review team has a clear understanding of policy and practice concerning the theme of the review, both from a systemic perspective and from the point of view of beneficiaries and stakeholders. </w:t>
      </w:r>
    </w:p>
    <w:p w14:paraId="37B5E66C" w14:textId="77777777" w:rsidR="000E61A5" w:rsidRPr="00215F99" w:rsidRDefault="000E61A5" w:rsidP="000E61A5">
      <w:pPr>
        <w:pStyle w:val="BodyText"/>
      </w:pPr>
      <w:r w:rsidRPr="00215F99">
        <w:t xml:space="preserve">The site visits are also meant to provide a unique opportunity to consult with stakeholders </w:t>
      </w:r>
      <w:r w:rsidRPr="00215F99">
        <w:rPr>
          <w:i/>
          <w:iCs/>
        </w:rPr>
        <w:t>in situ</w:t>
      </w:r>
      <w:r w:rsidRPr="00215F99">
        <w:t>. In some cases, this may be outside of the mainstream of usual locations and contexts, such as in rural or remote areas and with people from disadvantaged but strategically important groups of learners, etc.</w:t>
      </w:r>
    </w:p>
    <w:p w14:paraId="5855817E" w14:textId="77777777" w:rsidR="000E61A5" w:rsidRPr="00215F99" w:rsidRDefault="000E61A5" w:rsidP="000E61A5">
      <w:pPr>
        <w:pStyle w:val="BodyText"/>
        <w:rPr>
          <w:b/>
          <w:bCs/>
        </w:rPr>
      </w:pPr>
      <w:r w:rsidRPr="00215F99">
        <w:rPr>
          <w:b/>
          <w:bCs/>
        </w:rPr>
        <w:lastRenderedPageBreak/>
        <w:t>Step 1. Preparation of site visits:</w:t>
      </w:r>
    </w:p>
    <w:p w14:paraId="6355AAD1" w14:textId="77777777" w:rsidR="000E61A5" w:rsidRPr="00215F99" w:rsidRDefault="000E61A5" w:rsidP="000E61A5">
      <w:pPr>
        <w:pStyle w:val="BodyText"/>
        <w:numPr>
          <w:ilvl w:val="0"/>
          <w:numId w:val="29"/>
        </w:numPr>
      </w:pPr>
      <w:r w:rsidRPr="00215F99">
        <w:t>Selection of regions and stakeholders in coordination with the national coordinator.</w:t>
      </w:r>
    </w:p>
    <w:p w14:paraId="68871147" w14:textId="77777777" w:rsidR="000E61A5" w:rsidRPr="00215F99" w:rsidRDefault="000E61A5" w:rsidP="000E61A5">
      <w:pPr>
        <w:pStyle w:val="BodyText"/>
        <w:numPr>
          <w:ilvl w:val="0"/>
          <w:numId w:val="29"/>
        </w:numPr>
      </w:pPr>
      <w:r w:rsidRPr="00215F99">
        <w:t>Finalisation of an agenda and delegation of responsibilities among the review team.</w:t>
      </w:r>
    </w:p>
    <w:p w14:paraId="20AECC94" w14:textId="77777777" w:rsidR="000E61A5" w:rsidRPr="00215F99" w:rsidRDefault="000E61A5" w:rsidP="000E61A5">
      <w:pPr>
        <w:pStyle w:val="BodyText"/>
        <w:rPr>
          <w:b/>
          <w:bCs/>
        </w:rPr>
      </w:pPr>
      <w:r w:rsidRPr="00215F99">
        <w:rPr>
          <w:b/>
          <w:bCs/>
        </w:rPr>
        <w:t>Step 2. Conducting site visits:</w:t>
      </w:r>
    </w:p>
    <w:p w14:paraId="6CEAFFF0" w14:textId="77777777" w:rsidR="000E61A5" w:rsidRPr="00215F99" w:rsidRDefault="000E61A5" w:rsidP="000E61A5">
      <w:pPr>
        <w:pStyle w:val="BodyText"/>
      </w:pPr>
      <w:r w:rsidRPr="00215F99">
        <w:t>The review team visits identified institutions and conducts interviews and focus groups. Evidence is being gathered primarily through interviews, either with individuals or groups, at their usual locations to ensure authentic insights.</w:t>
      </w:r>
    </w:p>
    <w:p w14:paraId="0E69808B" w14:textId="77777777" w:rsidR="000E61A5" w:rsidRPr="00215F99" w:rsidRDefault="000E61A5" w:rsidP="000E61A5">
      <w:pPr>
        <w:pStyle w:val="BodyText"/>
      </w:pPr>
      <w:r w:rsidRPr="00215F99">
        <w:t xml:space="preserve">The site visits have the following steps: </w:t>
      </w:r>
    </w:p>
    <w:p w14:paraId="00750CC5" w14:textId="77777777" w:rsidR="000E61A5" w:rsidRPr="00215F99" w:rsidRDefault="000E61A5" w:rsidP="000E61A5">
      <w:pPr>
        <w:pStyle w:val="BodyText"/>
        <w:numPr>
          <w:ilvl w:val="0"/>
          <w:numId w:val="30"/>
        </w:numPr>
      </w:pPr>
      <w:r w:rsidRPr="00215F99">
        <w:rPr>
          <w:b/>
          <w:bCs/>
        </w:rPr>
        <w:t>Preparation and organisation of the site visits</w:t>
      </w:r>
      <w:r w:rsidRPr="00215F99">
        <w:t xml:space="preserve"> by the national review coordinator. The geographic scope and duration of these visits will depend on the choice of counterparts, and on the focus and scope of the review in each participating country. For instance, in some countries and for some stakeholders, it may be sufficient to organise meetings in the capital in the course of few days, while in other countries, it may be necessary to ensure a broader coverage with field visits to regions, discussions with beneficiary groups in situ, etc. In such a scenario, the site visits may take longer and involve local travel logistics, etc.</w:t>
      </w:r>
    </w:p>
    <w:p w14:paraId="2577A4DB" w14:textId="77777777" w:rsidR="000E61A5" w:rsidRPr="00215F99" w:rsidRDefault="000E61A5" w:rsidP="000E61A5">
      <w:pPr>
        <w:pStyle w:val="BodyText"/>
      </w:pPr>
      <w:r w:rsidRPr="00215F99">
        <w:t xml:space="preserve">The plan for the site visits also includes an indication of the </w:t>
      </w:r>
      <w:r w:rsidRPr="00215F99">
        <w:rPr>
          <w:b/>
          <w:bCs/>
        </w:rPr>
        <w:t>format of information collection</w:t>
      </w:r>
      <w:r w:rsidRPr="00215F99">
        <w:t xml:space="preserve"> from counterparts included in the plan. In principle, the site visits will </w:t>
      </w:r>
      <w:r w:rsidRPr="00215F99">
        <w:rPr>
          <w:b/>
          <w:bCs/>
        </w:rPr>
        <w:t>primarily rely on unstructured or semi-structured individual or group interviews</w:t>
      </w:r>
      <w:r w:rsidRPr="00215F99">
        <w:t xml:space="preserve"> as the main data-gathering approach. While focus groups are possible, they require a dedicated methodology that must be tailored to each theme and setting. Given the wide variation in countries, team members, stakeholders, and work styles, ensuring consistency of approach and quality of moderation across focus groups would be challenging and resource intensive. For this reason, </w:t>
      </w:r>
      <w:r w:rsidRPr="00215F99">
        <w:rPr>
          <w:b/>
          <w:bCs/>
        </w:rPr>
        <w:t>focus groups should only be considered as a last resort</w:t>
      </w:r>
      <w:r w:rsidRPr="00215F99">
        <w:t xml:space="preserve"> when interviews are not feasible.</w:t>
      </w:r>
    </w:p>
    <w:p w14:paraId="79FC1D61" w14:textId="77777777" w:rsidR="000E61A5" w:rsidRPr="00215F99" w:rsidRDefault="000E61A5" w:rsidP="000E61A5">
      <w:pPr>
        <w:pStyle w:val="BodyText"/>
        <w:numPr>
          <w:ilvl w:val="0"/>
          <w:numId w:val="30"/>
        </w:numPr>
      </w:pPr>
      <w:r w:rsidRPr="00215F99">
        <w:t>Conducting the site visits: during this step it may become necessary to adjust and complement the initial site visits plan as new information emerges and the team gathers recommendations for additional counterparts to meet (snowball effect).</w:t>
      </w:r>
    </w:p>
    <w:p w14:paraId="580003F1" w14:textId="77777777" w:rsidR="000E61A5" w:rsidRPr="00215F99" w:rsidRDefault="000E61A5" w:rsidP="000E61A5">
      <w:pPr>
        <w:pStyle w:val="BodyText"/>
        <w:rPr>
          <w:b/>
          <w:bCs/>
        </w:rPr>
      </w:pPr>
      <w:r w:rsidRPr="00215F99">
        <w:rPr>
          <w:b/>
          <w:bCs/>
        </w:rPr>
        <w:t>Step 3. Debriefing and consolidation:</w:t>
      </w:r>
    </w:p>
    <w:p w14:paraId="13A413CA" w14:textId="77777777" w:rsidR="000E61A5" w:rsidRPr="00215F99" w:rsidRDefault="000E61A5" w:rsidP="000E61A5">
      <w:pPr>
        <w:pStyle w:val="BodyText"/>
      </w:pPr>
      <w:r w:rsidRPr="00215F99">
        <w:t>The site visits conclude with a debriefing meeting or event, which involves the national coordinating institution/body and relevant stakeholders, and at which the review team shares a set of preliminary findings and conclusions to validate its observations before starting with the preparation of the review report. The team prepares a summary and, if requested, a presentation for debriefing national authorities on the results of the site visits.</w:t>
      </w:r>
    </w:p>
    <w:p w14:paraId="1897DAB1" w14:textId="77777777" w:rsidR="000E61A5" w:rsidRPr="000E61A5" w:rsidRDefault="000E61A5" w:rsidP="000E61A5">
      <w:pPr>
        <w:pStyle w:val="Heading3"/>
        <w:rPr>
          <w:lang w:val="en-US"/>
        </w:rPr>
      </w:pPr>
      <w:bookmarkStart w:id="40" w:name="_Toc198827580"/>
      <w:r w:rsidRPr="000E61A5">
        <w:rPr>
          <w:lang w:val="en-US"/>
        </w:rPr>
        <w:t>PHASE FOUR: Compilation, reporting, and validation</w:t>
      </w:r>
      <w:bookmarkEnd w:id="40"/>
    </w:p>
    <w:p w14:paraId="14AD7585" w14:textId="77777777" w:rsidR="000E61A5" w:rsidRPr="00215F99" w:rsidRDefault="000E61A5" w:rsidP="000E61A5">
      <w:pPr>
        <w:pStyle w:val="BodyText"/>
      </w:pPr>
      <w:r w:rsidRPr="00215F99">
        <w:t xml:space="preserve">Based on site visit findings and stakeholder discussions, the review team drafts the review report. It is being shared with stakeholders for feedback and discussed in a dissemination and validation meeting. </w:t>
      </w:r>
    </w:p>
    <w:p w14:paraId="5D823227" w14:textId="77777777" w:rsidR="000E61A5" w:rsidRPr="00215F99" w:rsidRDefault="000E61A5" w:rsidP="000E61A5">
      <w:pPr>
        <w:pStyle w:val="BodyText"/>
      </w:pPr>
      <w:r w:rsidRPr="00215F99">
        <w:t xml:space="preserve">The length of the report can be decided for each country individually, but as a rule of thumb, it should not exceed 20,000 words in total. </w:t>
      </w:r>
    </w:p>
    <w:p w14:paraId="66CADCE7" w14:textId="77777777" w:rsidR="000E61A5" w:rsidRPr="00215F99" w:rsidRDefault="000E61A5" w:rsidP="000E61A5">
      <w:pPr>
        <w:pStyle w:val="BodyText"/>
      </w:pPr>
      <w:r w:rsidRPr="00215F99">
        <w:t xml:space="preserve">The report is based on the analysis of data and the collection of insights from national stakeholders. Its structure can vary between countries depending on the themes chosen, to ensure a clear and accessible presentation of findings and recommendations. At the same time, all reports will share a set of mandatory, uniform elements to ensure that they are consistent and have an instantly recognisable identity as reviews of policies for lifelong learning. These elements </w:t>
      </w:r>
      <w:r>
        <w:t xml:space="preserve">may </w:t>
      </w:r>
      <w:r w:rsidRPr="00215F99">
        <w:t>include:</w:t>
      </w:r>
    </w:p>
    <w:p w14:paraId="0F8988DA" w14:textId="77777777" w:rsidR="000E61A5" w:rsidRPr="00215F99" w:rsidRDefault="000E61A5" w:rsidP="000E61A5">
      <w:pPr>
        <w:pStyle w:val="BodyText"/>
        <w:numPr>
          <w:ilvl w:val="0"/>
          <w:numId w:val="30"/>
        </w:numPr>
      </w:pPr>
      <w:r w:rsidRPr="00215F99">
        <w:t xml:space="preserve">An </w:t>
      </w:r>
      <w:r w:rsidRPr="00567AA4">
        <w:rPr>
          <w:b/>
          <w:bCs/>
        </w:rPr>
        <w:t>executive summary</w:t>
      </w:r>
    </w:p>
    <w:p w14:paraId="2A53BB22" w14:textId="77777777" w:rsidR="000E61A5" w:rsidRPr="00215F99" w:rsidRDefault="000E61A5" w:rsidP="000E61A5">
      <w:pPr>
        <w:pStyle w:val="BodyText"/>
        <w:numPr>
          <w:ilvl w:val="0"/>
          <w:numId w:val="30"/>
        </w:numPr>
      </w:pPr>
      <w:r w:rsidRPr="00215F99">
        <w:t xml:space="preserve">An </w:t>
      </w:r>
      <w:r w:rsidRPr="00215F99">
        <w:rPr>
          <w:b/>
          <w:bCs/>
        </w:rPr>
        <w:t>introductory element</w:t>
      </w:r>
      <w:r w:rsidRPr="00215F99">
        <w:t xml:space="preserve">, which describes the background and scope of the review, provides a brief description of the review report, and provides relevant country background and an </w:t>
      </w:r>
      <w:r w:rsidRPr="00215F99">
        <w:lastRenderedPageBreak/>
        <w:t>overview of lifelong learning in the country, including a map of stakeholders involved in lifelong learning by stake and responsibility</w:t>
      </w:r>
    </w:p>
    <w:p w14:paraId="693EDA12" w14:textId="77777777" w:rsidR="000E61A5" w:rsidRPr="00215F99" w:rsidRDefault="000E61A5" w:rsidP="000E61A5">
      <w:pPr>
        <w:pStyle w:val="BodyText"/>
        <w:numPr>
          <w:ilvl w:val="0"/>
          <w:numId w:val="30"/>
        </w:numPr>
      </w:pPr>
      <w:r w:rsidRPr="00215F99">
        <w:t xml:space="preserve">A </w:t>
      </w:r>
      <w:r w:rsidRPr="00215F99">
        <w:rPr>
          <w:b/>
          <w:bCs/>
        </w:rPr>
        <w:t>reporting element</w:t>
      </w:r>
      <w:r w:rsidRPr="00215F99">
        <w:t>, which comprises chapters presenting the findings of the review</w:t>
      </w:r>
    </w:p>
    <w:p w14:paraId="2B40D2C3" w14:textId="77777777" w:rsidR="000E61A5" w:rsidRPr="00215F99" w:rsidRDefault="000E61A5" w:rsidP="000E61A5">
      <w:pPr>
        <w:pStyle w:val="BodyText"/>
        <w:numPr>
          <w:ilvl w:val="0"/>
          <w:numId w:val="30"/>
        </w:numPr>
      </w:pPr>
      <w:r w:rsidRPr="00215F99">
        <w:t xml:space="preserve">A </w:t>
      </w:r>
      <w:r w:rsidRPr="00215F99">
        <w:rPr>
          <w:b/>
          <w:bCs/>
        </w:rPr>
        <w:t>follow-up/concluding element</w:t>
      </w:r>
      <w:r w:rsidRPr="00215F99">
        <w:t xml:space="preserve"> featuring draft recommendations in response to these findings, structured by chapter, organised by recommended priority of implementation</w:t>
      </w:r>
    </w:p>
    <w:p w14:paraId="70E23DBB" w14:textId="77777777" w:rsidR="000E61A5" w:rsidRPr="00215F99" w:rsidRDefault="000E61A5" w:rsidP="000E61A5">
      <w:pPr>
        <w:pStyle w:val="BodyText"/>
        <w:numPr>
          <w:ilvl w:val="0"/>
          <w:numId w:val="30"/>
        </w:numPr>
      </w:pPr>
      <w:r w:rsidRPr="00215F99">
        <w:t xml:space="preserve">A block with </w:t>
      </w:r>
      <w:r w:rsidRPr="00215F99">
        <w:rPr>
          <w:b/>
          <w:bCs/>
        </w:rPr>
        <w:t>annexes</w:t>
      </w:r>
      <w:r w:rsidRPr="00215F99">
        <w:t xml:space="preserve"> providing summarised information about the review methodology, the review team, the site visits, and the stakeholders consulted, as well as any other supplementary information of relevance</w:t>
      </w:r>
    </w:p>
    <w:p w14:paraId="3267264C" w14:textId="77777777" w:rsidR="000E61A5" w:rsidRPr="00215F99" w:rsidRDefault="000E61A5" w:rsidP="000E61A5">
      <w:pPr>
        <w:pStyle w:val="BodyText"/>
      </w:pPr>
      <w:r w:rsidRPr="00215F99">
        <w:t xml:space="preserve">The review process concludes with a consultation and dissemination event organised by the ETF in cooperation with the partner country, with the help and support of the review team. The objective is to disseminate the draft report, raise awareness about the review outcomes, and discuss the appropriateness and feasibility of policy recommendations with key stakeholders. Another feature of this event is to discuss the relevant ways to implement the recommendations and possibilities of technical and financial support by the EU delegations and other active international organisations in the country. </w:t>
      </w:r>
    </w:p>
    <w:p w14:paraId="3A34F2B9" w14:textId="77777777" w:rsidR="000E61A5" w:rsidRDefault="000E61A5" w:rsidP="000E61A5">
      <w:pPr>
        <w:pStyle w:val="BodyText"/>
      </w:pPr>
      <w:r w:rsidRPr="00215F99">
        <w:t>The report and its recommendations are finalised after the dissemination and consultation event so that it can incorporate the conclusions of stakeholders regarding the recommended follow-up actions.</w:t>
      </w:r>
    </w:p>
    <w:p w14:paraId="1C507721" w14:textId="77777777" w:rsidR="000E61A5" w:rsidRDefault="000E61A5" w:rsidP="000E61A5">
      <w:pPr>
        <w:pStyle w:val="BodyText"/>
      </w:pPr>
      <w:r>
        <w:t xml:space="preserve">Given its customised and resource-intensive nature, only a limited number of countries participate annually, selected on a rolling basis. </w:t>
      </w:r>
    </w:p>
    <w:p w14:paraId="55F6F13F" w14:textId="77777777" w:rsidR="000E61A5" w:rsidRPr="00215F99" w:rsidRDefault="000E61A5" w:rsidP="000E61A5">
      <w:pPr>
        <w:pStyle w:val="Heading2"/>
      </w:pPr>
      <w:bookmarkStart w:id="41" w:name="_TOC_250002"/>
      <w:bookmarkStart w:id="42" w:name="_Toc103768184"/>
      <w:bookmarkStart w:id="43" w:name="_Toc198827581"/>
      <w:r w:rsidRPr="00215F99">
        <w:t>Summary of responsibilities</w:t>
      </w:r>
      <w:bookmarkEnd w:id="41"/>
      <w:bookmarkEnd w:id="42"/>
      <w:bookmarkEnd w:id="43"/>
    </w:p>
    <w:p w14:paraId="7D91E9EE" w14:textId="77777777" w:rsidR="000E61A5" w:rsidRDefault="000E61A5" w:rsidP="000E61A5">
      <w:pPr>
        <w:pStyle w:val="BodyText"/>
      </w:pPr>
      <w:r>
        <w:t>Each country nominates a coordinator – often from relevant line ministries or agencies – responsible for liaising with national stakeholders, authorities, and the expert review team.</w:t>
      </w:r>
    </w:p>
    <w:p w14:paraId="61C84CD0" w14:textId="77777777" w:rsidR="000E61A5" w:rsidRPr="00215F99" w:rsidRDefault="000E61A5" w:rsidP="000E61A5">
      <w:pPr>
        <w:pStyle w:val="BodyText"/>
      </w:pPr>
      <w:r w:rsidRPr="00215F99">
        <w:t>Through their nominated national coordinators/coordinating institutions, countries participating in the reviews are in charge of the following:</w:t>
      </w:r>
    </w:p>
    <w:p w14:paraId="5C37C36B" w14:textId="77777777" w:rsidR="000E61A5" w:rsidRPr="00567AA4" w:rsidRDefault="000E61A5" w:rsidP="000E61A5">
      <w:pPr>
        <w:pStyle w:val="ListBullet"/>
        <w:tabs>
          <w:tab w:val="clear" w:pos="720"/>
        </w:tabs>
        <w:ind w:left="284" w:hanging="284"/>
        <w:rPr>
          <w:sz w:val="22"/>
          <w:szCs w:val="22"/>
        </w:rPr>
      </w:pPr>
      <w:r w:rsidRPr="00567AA4">
        <w:rPr>
          <w:b/>
          <w:bCs/>
          <w:color w:val="006D8C" w:themeColor="text2" w:themeShade="BF"/>
          <w:sz w:val="22"/>
          <w:szCs w:val="22"/>
        </w:rPr>
        <w:t>At the stage of preparation for reviews:</w:t>
      </w:r>
      <w:r w:rsidRPr="00567AA4">
        <w:rPr>
          <w:color w:val="006D8C" w:themeColor="text2" w:themeShade="BF"/>
          <w:sz w:val="22"/>
          <w:szCs w:val="22"/>
        </w:rPr>
        <w:t xml:space="preserve"> </w:t>
      </w:r>
      <w:r w:rsidRPr="00567AA4">
        <w:rPr>
          <w:sz w:val="22"/>
          <w:szCs w:val="22"/>
        </w:rPr>
        <w:t>nomination of a national review coordinator by exchange of official letters; formal expression of interest to undertake the Torino Process review of policies for lifelong learning. This also includes information about the desired thematic focus of the review.</w:t>
      </w:r>
    </w:p>
    <w:p w14:paraId="6250C360" w14:textId="77777777" w:rsidR="000E61A5" w:rsidRPr="00567AA4" w:rsidRDefault="000E61A5" w:rsidP="000E61A5">
      <w:pPr>
        <w:pStyle w:val="ListBullet"/>
        <w:tabs>
          <w:tab w:val="clear" w:pos="720"/>
        </w:tabs>
        <w:ind w:left="284" w:hanging="284"/>
        <w:rPr>
          <w:sz w:val="22"/>
          <w:szCs w:val="22"/>
        </w:rPr>
      </w:pPr>
      <w:r w:rsidRPr="00567AA4">
        <w:rPr>
          <w:b/>
          <w:bCs/>
          <w:color w:val="006D8C" w:themeColor="text2" w:themeShade="BF"/>
          <w:sz w:val="22"/>
          <w:szCs w:val="22"/>
        </w:rPr>
        <w:t>At the stage of analysis and site visits:</w:t>
      </w:r>
      <w:r w:rsidRPr="00567AA4">
        <w:rPr>
          <w:color w:val="006D8C" w:themeColor="text2" w:themeShade="BF"/>
          <w:sz w:val="22"/>
          <w:szCs w:val="22"/>
        </w:rPr>
        <w:t xml:space="preserve"> </w:t>
      </w:r>
      <w:r w:rsidRPr="00567AA4">
        <w:rPr>
          <w:sz w:val="22"/>
          <w:szCs w:val="22"/>
        </w:rPr>
        <w:t>submission of relevant documents and sources for the desk research; provision of comments and inputs to the issues paper and of responses to the questionnaire and data requests by the review team (if any); preparation of a list of site visits in cooperation with ETF and the review team; preparation and organisation of the site visits (agenda for the site visits, support with the logistics, as needed); support in the identification of stakeholders for the debriefing meeting as well as co-hosting the meeting;</w:t>
      </w:r>
    </w:p>
    <w:p w14:paraId="4F641C1B" w14:textId="77777777" w:rsidR="000E61A5" w:rsidRPr="00567AA4" w:rsidRDefault="000E61A5" w:rsidP="000E61A5">
      <w:pPr>
        <w:pStyle w:val="ListBullet"/>
        <w:tabs>
          <w:tab w:val="clear" w:pos="720"/>
        </w:tabs>
        <w:ind w:left="284" w:hanging="284"/>
        <w:rPr>
          <w:sz w:val="22"/>
          <w:szCs w:val="22"/>
        </w:rPr>
      </w:pPr>
      <w:r w:rsidRPr="00567AA4">
        <w:rPr>
          <w:b/>
          <w:bCs/>
          <w:color w:val="006D8C" w:themeColor="text2" w:themeShade="BF"/>
          <w:sz w:val="22"/>
          <w:szCs w:val="22"/>
        </w:rPr>
        <w:t>At the stage of validation and dissemination:</w:t>
      </w:r>
      <w:r w:rsidRPr="00567AA4">
        <w:rPr>
          <w:color w:val="006D8C" w:themeColor="text2" w:themeShade="BF"/>
          <w:sz w:val="22"/>
          <w:szCs w:val="22"/>
        </w:rPr>
        <w:t xml:space="preserve"> </w:t>
      </w:r>
      <w:r w:rsidRPr="00567AA4">
        <w:rPr>
          <w:sz w:val="22"/>
          <w:szCs w:val="22"/>
        </w:rPr>
        <w:t>provision of comments and inputs to the final draft of the review report; support in the identification of stakeholders for the final validation and dissemination meeting, as well as co-hosting the meeting.</w:t>
      </w:r>
      <w:bookmarkStart w:id="44" w:name="_Toc103768185"/>
    </w:p>
    <w:bookmarkEnd w:id="44"/>
    <w:p w14:paraId="4178C3B8" w14:textId="77777777" w:rsidR="008453FF" w:rsidRDefault="008453FF">
      <w:pPr>
        <w:pBdr>
          <w:top w:val="nil"/>
          <w:left w:val="nil"/>
          <w:bottom w:val="nil"/>
          <w:right w:val="nil"/>
          <w:between w:val="nil"/>
        </w:pBdr>
        <w:spacing w:after="120"/>
        <w:rPr>
          <w:color w:val="455560"/>
        </w:rPr>
      </w:pPr>
    </w:p>
    <w:sectPr w:rsidR="008453FF" w:rsidSect="000E61A5">
      <w:headerReference w:type="default" r:id="rId17"/>
      <w:footerReference w:type="default" r:id="rId18"/>
      <w:pgSz w:w="11906" w:h="16838" w:code="9"/>
      <w:pgMar w:top="1418" w:right="1418" w:bottom="1418" w:left="1418" w:header="709"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EF417" w14:textId="77777777" w:rsidR="004212C5" w:rsidRDefault="004212C5">
      <w:pPr>
        <w:spacing w:after="0" w:line="240" w:lineRule="auto"/>
      </w:pPr>
      <w:r>
        <w:separator/>
      </w:r>
    </w:p>
  </w:endnote>
  <w:endnote w:type="continuationSeparator" w:id="0">
    <w:p w14:paraId="7AC3A0E2" w14:textId="77777777" w:rsidR="004212C5" w:rsidRDefault="00421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6D55" w14:textId="77777777" w:rsidR="008453FF" w:rsidRDefault="008453FF">
    <w:pPr>
      <w:pBdr>
        <w:top w:val="nil"/>
        <w:left w:val="nil"/>
        <w:bottom w:val="nil"/>
        <w:right w:val="nil"/>
        <w:between w:val="nil"/>
      </w:pBdr>
      <w:tabs>
        <w:tab w:val="center" w:pos="4513"/>
        <w:tab w:val="right" w:pos="9026"/>
      </w:tabs>
      <w:spacing w:after="0" w:line="240" w:lineRule="auto"/>
      <w:rPr>
        <w:color w:val="FFFFFF"/>
        <w:sz w:val="17"/>
        <w:szCs w:val="17"/>
      </w:rPr>
    </w:pPr>
  </w:p>
  <w:p w14:paraId="77B414D1" w14:textId="77777777" w:rsidR="008453FF" w:rsidRDefault="008453FF">
    <w:pPr>
      <w:pBdr>
        <w:top w:val="nil"/>
        <w:left w:val="nil"/>
        <w:bottom w:val="nil"/>
        <w:right w:val="nil"/>
        <w:between w:val="nil"/>
      </w:pBdr>
      <w:tabs>
        <w:tab w:val="center" w:pos="4513"/>
        <w:tab w:val="right" w:pos="9026"/>
      </w:tabs>
      <w:spacing w:after="0" w:line="240" w:lineRule="auto"/>
      <w:rPr>
        <w:color w:val="FFFFFF"/>
        <w:sz w:val="17"/>
        <w:szCs w:val="17"/>
      </w:rPr>
    </w:pPr>
  </w:p>
  <w:p w14:paraId="528F85F1" w14:textId="77777777" w:rsidR="008453FF" w:rsidRDefault="00FB2BCB">
    <w:pPr>
      <w:pBdr>
        <w:top w:val="single" w:sz="12" w:space="6" w:color="0092BB"/>
        <w:left w:val="nil"/>
        <w:bottom w:val="nil"/>
        <w:right w:val="nil"/>
        <w:between w:val="nil"/>
      </w:pBdr>
      <w:tabs>
        <w:tab w:val="center" w:pos="4513"/>
        <w:tab w:val="right" w:pos="9026"/>
      </w:tabs>
      <w:spacing w:after="0" w:line="240" w:lineRule="auto"/>
      <w:rPr>
        <w:b/>
        <w:smallCaps/>
        <w:color w:val="0092BB"/>
        <w:sz w:val="17"/>
        <w:szCs w:val="17"/>
      </w:rPr>
    </w:pPr>
    <w:r>
      <w:rPr>
        <w:smallCaps/>
        <w:color w:val="0092BB"/>
        <w:sz w:val="17"/>
        <w:szCs w:val="17"/>
      </w:rPr>
      <w:t>Error! Use the Home tab to apply Agenda Title to the text that you want to appear here.</w:t>
    </w:r>
    <w:r>
      <w:rPr>
        <w:b/>
        <w:smallCaps/>
        <w:color w:val="0092BB"/>
        <w:sz w:val="17"/>
        <w:szCs w:val="17"/>
      </w:rPr>
      <w:t xml:space="preserve">   |   </w:t>
    </w:r>
    <w:r>
      <w:rPr>
        <w:b/>
        <w:smallCaps/>
        <w:color w:val="0092BB"/>
        <w:sz w:val="17"/>
        <w:szCs w:val="17"/>
      </w:rPr>
      <w:fldChar w:fldCharType="begin"/>
    </w:r>
    <w:r>
      <w:rPr>
        <w:b/>
        <w:smallCaps/>
        <w:color w:val="0092BB"/>
        <w:sz w:val="17"/>
        <w:szCs w:val="17"/>
      </w:rPr>
      <w:instrText>PAGE</w:instrText>
    </w:r>
    <w:r>
      <w:rPr>
        <w:b/>
        <w:smallCaps/>
        <w:color w:val="0092BB"/>
        <w:sz w:val="17"/>
        <w:szCs w:val="17"/>
      </w:rPr>
      <w:fldChar w:fldCharType="separate"/>
    </w:r>
    <w:r>
      <w:rPr>
        <w:b/>
        <w:smallCaps/>
        <w:color w:val="0092BB"/>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1246" w14:textId="77777777" w:rsidR="00450243" w:rsidRDefault="00450243" w:rsidP="00030FBC">
    <w:pPr>
      <w:pStyle w:val="Footer"/>
    </w:pPr>
  </w:p>
  <w:p w14:paraId="178506BC" w14:textId="77777777" w:rsidR="00450243" w:rsidRDefault="00450243" w:rsidP="00030FBC">
    <w:pPr>
      <w:pStyle w:val="Footer"/>
    </w:pPr>
  </w:p>
  <w:p w14:paraId="65602526" w14:textId="24E139E0" w:rsidR="00450243" w:rsidRPr="00636F0B" w:rsidRDefault="00FB2BCB" w:rsidP="00030FBC">
    <w:pPr>
      <w:pStyle w:val="Footerwithline"/>
    </w:pPr>
    <w:r w:rsidRPr="00240839">
      <w:rPr>
        <w:noProof/>
      </w:rPr>
      <w:drawing>
        <wp:anchor distT="0" distB="0" distL="114300" distR="114300" simplePos="0" relativeHeight="251663360" behindDoc="0" locked="1" layoutInCell="1" allowOverlap="1" wp14:anchorId="62F59938" wp14:editId="0303EFBC">
          <wp:simplePos x="0" y="0"/>
          <wp:positionH relativeFrom="margin">
            <wp:align>left</wp:align>
          </wp:positionH>
          <wp:positionV relativeFrom="paragraph">
            <wp:posOffset>50165</wp:posOffset>
          </wp:positionV>
          <wp:extent cx="540000" cy="331200"/>
          <wp:effectExtent l="0" t="0" r="0" b="0"/>
          <wp:wrapNone/>
          <wp:docPr id="10" name="imgLogoET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LogoETF2"/>
                  <pic:cNvPicPr/>
                </pic:nvPicPr>
                <pic:blipFill rotWithShape="1">
                  <a:blip r:embed="rId1">
                    <a:extLst>
                      <a:ext uri="{28A0092B-C50C-407E-A947-70E740481C1C}">
                        <a14:useLocalDpi xmlns:a14="http://schemas.microsoft.com/office/drawing/2010/main" val="0"/>
                      </a:ext>
                    </a:extLst>
                  </a:blip>
                  <a:srcRect l="11443" t="20562" r="10220" b="20032"/>
                  <a:stretch/>
                </pic:blipFill>
                <pic:spPr bwMode="auto">
                  <a:xfrm>
                    <a:off x="0" y="0"/>
                    <a:ext cx="540000" cy="33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ptab w:relativeTo="margin" w:alignment="right" w:leader="none"/>
    </w:r>
    <w:r>
      <w:fldChar w:fldCharType="begin"/>
    </w:r>
    <w:r>
      <w:instrText>STYLEREF  "Title"</w:instrText>
    </w:r>
    <w:r>
      <w:fldChar w:fldCharType="separate"/>
    </w:r>
    <w:r>
      <w:rPr>
        <w:noProof/>
      </w:rPr>
      <w:t>Torino Process policy and system monitoring framework 2025</w:t>
    </w:r>
    <w:r>
      <w:fldChar w:fldCharType="end"/>
    </w:r>
    <w:r>
      <w:t xml:space="preserve">   |   </w:t>
    </w:r>
    <w:r>
      <w:fldChar w:fldCharType="begin"/>
    </w:r>
    <w:r>
      <w:instrText xml:space="preserve"> PAGE  \# "00" </w:instrText>
    </w:r>
    <w:r>
      <w:fldChar w:fldCharType="separate"/>
    </w:r>
    <w:r>
      <w:t>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DBF87" w14:textId="77777777" w:rsidR="004212C5" w:rsidRDefault="004212C5">
      <w:pPr>
        <w:spacing w:after="0" w:line="240" w:lineRule="auto"/>
      </w:pPr>
      <w:r>
        <w:separator/>
      </w:r>
    </w:p>
  </w:footnote>
  <w:footnote w:type="continuationSeparator" w:id="0">
    <w:p w14:paraId="01E08B7B" w14:textId="77777777" w:rsidR="004212C5" w:rsidRDefault="004212C5">
      <w:pPr>
        <w:spacing w:after="0" w:line="240" w:lineRule="auto"/>
      </w:pPr>
      <w:r>
        <w:continuationSeparator/>
      </w:r>
    </w:p>
  </w:footnote>
  <w:footnote w:id="1">
    <w:p w14:paraId="659BDEF1" w14:textId="77777777" w:rsidR="000E61A5" w:rsidRPr="00E8640E" w:rsidRDefault="000E61A5" w:rsidP="000E61A5">
      <w:pPr>
        <w:pStyle w:val="FootnoteText"/>
      </w:pPr>
      <w:r>
        <w:rPr>
          <w:rStyle w:val="FootnoteReference"/>
        </w:rPr>
        <w:footnoteRef/>
      </w:r>
      <w:r>
        <w:t xml:space="preserve"> </w:t>
      </w:r>
      <w:r w:rsidRPr="003B7BD0">
        <w:t>For more information on the process of defining the commitments in focus, see the section “Focus of monitoring” in the previous edition of the Guidelines</w:t>
      </w:r>
      <w:r>
        <w:t xml:space="preserve">: </w:t>
      </w:r>
      <w:hyperlink r:id="rId1" w:history="1">
        <w:r w:rsidRPr="007A2E1C">
          <w:rPr>
            <w:rStyle w:val="Hyperlink"/>
          </w:rPr>
          <w:t>https://bit.ly/47YGA6l</w:t>
        </w:r>
      </w:hyperlink>
      <w:r>
        <w:t>.</w:t>
      </w:r>
    </w:p>
  </w:footnote>
  <w:footnote w:id="2">
    <w:p w14:paraId="27C4B66B" w14:textId="77777777" w:rsidR="000E61A5" w:rsidRPr="003B7BD0" w:rsidRDefault="000E61A5" w:rsidP="000E61A5">
      <w:pPr>
        <w:jc w:val="both"/>
        <w:rPr>
          <w:rFonts w:eastAsia="Calibri" w:cs="Calibri"/>
          <w:color w:val="455560" w:themeColor="text1"/>
          <w:sz w:val="16"/>
          <w:lang w:eastAsia="en-GB"/>
        </w:rPr>
      </w:pPr>
      <w:r>
        <w:rPr>
          <w:rStyle w:val="FootnoteReference"/>
        </w:rPr>
        <w:footnoteRef/>
      </w:r>
      <w:r>
        <w:t xml:space="preserve"> </w:t>
      </w:r>
      <w:r w:rsidRPr="003B7BD0">
        <w:rPr>
          <w:rStyle w:val="FootnoteTextChar"/>
        </w:rPr>
        <w:t>Starting from 2026, SPIs will be calculated by systematically combining quantitative data and self-assessments, rather than relying primarily on quantitative data and using self-assessments only to fill data gaps.</w:t>
      </w:r>
      <w:r w:rsidRPr="003B7BD0">
        <w:t xml:space="preserve"> </w:t>
      </w:r>
      <w:r w:rsidRPr="003B7BD0">
        <w:rPr>
          <w:rStyle w:val="FootnoteTextChar"/>
        </w:rPr>
        <w:t xml:space="preserve">This combined approach is intended to reduce potential biases that may arise from reliance on either data source alone and, as a result, </w:t>
      </w:r>
      <w:r>
        <w:rPr>
          <w:rStyle w:val="FootnoteTextChar"/>
        </w:rPr>
        <w:t xml:space="preserve">it will </w:t>
      </w:r>
      <w:r w:rsidRPr="003B7BD0">
        <w:rPr>
          <w:rStyle w:val="FootnoteTextChar"/>
        </w:rPr>
        <w:t>improve the robustness and reliability of the SPIs.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43D9" w14:textId="77777777" w:rsidR="008453FF" w:rsidRDefault="008453FF">
    <w:pPr>
      <w:widowControl w:val="0"/>
      <w:pBdr>
        <w:top w:val="nil"/>
        <w:left w:val="nil"/>
        <w:bottom w:val="nil"/>
        <w:right w:val="nil"/>
        <w:between w:val="nil"/>
      </w:pBdr>
      <w:spacing w:after="0" w:line="276" w:lineRule="auto"/>
      <w:rPr>
        <w:color w:val="455560"/>
      </w:rPr>
    </w:pPr>
  </w:p>
  <w:tbl>
    <w:tblPr>
      <w:tblStyle w:val="a0"/>
      <w:tblW w:w="9060" w:type="dxa"/>
      <w:tblLayout w:type="fixed"/>
      <w:tblLook w:val="0600" w:firstRow="0" w:lastRow="0" w:firstColumn="0" w:lastColumn="0" w:noHBand="1" w:noVBand="1"/>
    </w:tblPr>
    <w:tblGrid>
      <w:gridCol w:w="3020"/>
      <w:gridCol w:w="3020"/>
      <w:gridCol w:w="3020"/>
    </w:tblGrid>
    <w:tr w:rsidR="008453FF" w14:paraId="54D20784" w14:textId="77777777">
      <w:tc>
        <w:tcPr>
          <w:tcW w:w="3020" w:type="dxa"/>
        </w:tcPr>
        <w:p w14:paraId="1BEDA9AF" w14:textId="77777777" w:rsidR="008453FF" w:rsidRDefault="008453FF">
          <w:pPr>
            <w:pBdr>
              <w:top w:val="nil"/>
              <w:left w:val="nil"/>
              <w:bottom w:val="nil"/>
              <w:right w:val="nil"/>
              <w:between w:val="nil"/>
            </w:pBdr>
            <w:tabs>
              <w:tab w:val="center" w:pos="4513"/>
              <w:tab w:val="right" w:pos="9026"/>
            </w:tabs>
            <w:spacing w:after="0" w:line="240" w:lineRule="auto"/>
            <w:ind w:left="-115"/>
            <w:rPr>
              <w:color w:val="FFFFFF"/>
            </w:rPr>
          </w:pPr>
        </w:p>
      </w:tc>
      <w:tc>
        <w:tcPr>
          <w:tcW w:w="3020" w:type="dxa"/>
        </w:tcPr>
        <w:p w14:paraId="07936DDA" w14:textId="77777777" w:rsidR="008453FF" w:rsidRDefault="008453FF">
          <w:pPr>
            <w:pBdr>
              <w:top w:val="nil"/>
              <w:left w:val="nil"/>
              <w:bottom w:val="nil"/>
              <w:right w:val="nil"/>
              <w:between w:val="nil"/>
            </w:pBdr>
            <w:tabs>
              <w:tab w:val="center" w:pos="4513"/>
              <w:tab w:val="right" w:pos="9026"/>
            </w:tabs>
            <w:spacing w:after="0" w:line="240" w:lineRule="auto"/>
            <w:jc w:val="center"/>
            <w:rPr>
              <w:color w:val="FFFFFF"/>
            </w:rPr>
          </w:pPr>
        </w:p>
      </w:tc>
      <w:tc>
        <w:tcPr>
          <w:tcW w:w="3020" w:type="dxa"/>
        </w:tcPr>
        <w:p w14:paraId="3DE9FE6A" w14:textId="77777777" w:rsidR="008453FF" w:rsidRDefault="008453FF">
          <w:pPr>
            <w:pBdr>
              <w:top w:val="nil"/>
              <w:left w:val="nil"/>
              <w:bottom w:val="nil"/>
              <w:right w:val="nil"/>
              <w:between w:val="nil"/>
            </w:pBdr>
            <w:tabs>
              <w:tab w:val="center" w:pos="4513"/>
              <w:tab w:val="right" w:pos="9026"/>
            </w:tabs>
            <w:spacing w:after="0" w:line="240" w:lineRule="auto"/>
            <w:ind w:right="-115"/>
            <w:jc w:val="right"/>
            <w:rPr>
              <w:color w:val="FFFFFF"/>
            </w:rPr>
          </w:pPr>
        </w:p>
      </w:tc>
    </w:tr>
  </w:tbl>
  <w:p w14:paraId="18773915" w14:textId="77777777" w:rsidR="008453FF" w:rsidRDefault="008453FF">
    <w:pPr>
      <w:pBdr>
        <w:top w:val="nil"/>
        <w:left w:val="nil"/>
        <w:bottom w:val="nil"/>
        <w:right w:val="nil"/>
        <w:between w:val="nil"/>
      </w:pBdr>
      <w:tabs>
        <w:tab w:val="center" w:pos="4513"/>
        <w:tab w:val="right" w:pos="9026"/>
      </w:tabs>
      <w:spacing w:after="0" w:line="240" w:lineRule="auto"/>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5145" w14:textId="77777777" w:rsidR="008453FF" w:rsidRDefault="00FB2BCB">
    <w:pPr>
      <w:pBdr>
        <w:top w:val="nil"/>
        <w:left w:val="nil"/>
        <w:bottom w:val="nil"/>
        <w:right w:val="nil"/>
        <w:between w:val="nil"/>
      </w:pBdr>
      <w:tabs>
        <w:tab w:val="center" w:pos="4513"/>
        <w:tab w:val="right" w:pos="9026"/>
      </w:tabs>
      <w:spacing w:after="0" w:line="240" w:lineRule="auto"/>
      <w:rPr>
        <w:color w:val="FFFFFF"/>
      </w:rPr>
    </w:pPr>
    <w:r>
      <w:rPr>
        <w:noProof/>
        <w:color w:val="FFFFFF"/>
      </w:rPr>
      <w:drawing>
        <wp:anchor distT="0" distB="0" distL="114300" distR="114300" simplePos="0" relativeHeight="251658240" behindDoc="0" locked="0" layoutInCell="1" hidden="0" allowOverlap="1" wp14:anchorId="39D7776E" wp14:editId="1A0D899C">
          <wp:simplePos x="0" y="0"/>
          <wp:positionH relativeFrom="rightMargin">
            <wp:posOffset>-320674</wp:posOffset>
          </wp:positionH>
          <wp:positionV relativeFrom="page">
            <wp:posOffset>385445</wp:posOffset>
          </wp:positionV>
          <wp:extent cx="889200" cy="720000"/>
          <wp:effectExtent l="0" t="0" r="0" b="0"/>
          <wp:wrapNone/>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89200" cy="720000"/>
                  </a:xfrm>
                  <a:prstGeom prst="rect">
                    <a:avLst/>
                  </a:prstGeom>
                  <a:ln/>
                </pic:spPr>
              </pic:pic>
            </a:graphicData>
          </a:graphic>
        </wp:anchor>
      </w:drawing>
    </w:r>
    <w:r>
      <w:rPr>
        <w:noProof/>
        <w:color w:val="FFFFFF"/>
      </w:rPr>
      <w:drawing>
        <wp:anchor distT="0" distB="0" distL="114300" distR="114300" simplePos="0" relativeHeight="251659264" behindDoc="0" locked="0" layoutInCell="1" hidden="0" allowOverlap="1" wp14:anchorId="1464E690" wp14:editId="7DEDE153">
          <wp:simplePos x="0" y="0"/>
          <wp:positionH relativeFrom="page">
            <wp:posOffset>288290</wp:posOffset>
          </wp:positionH>
          <wp:positionV relativeFrom="page">
            <wp:posOffset>194310</wp:posOffset>
          </wp:positionV>
          <wp:extent cx="1357200" cy="109800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57200" cy="1098000"/>
                  </a:xfrm>
                  <a:prstGeom prst="rect">
                    <a:avLst/>
                  </a:prstGeom>
                  <a:ln/>
                </pic:spPr>
              </pic:pic>
            </a:graphicData>
          </a:graphic>
        </wp:anchor>
      </w:drawing>
    </w:r>
    <w:r>
      <w:rPr>
        <w:noProof/>
        <w:color w:val="FFFFFF"/>
      </w:rPr>
      <w:drawing>
        <wp:anchor distT="0" distB="0" distL="0" distR="0" simplePos="0" relativeHeight="251660288" behindDoc="1" locked="0" layoutInCell="1" hidden="0" allowOverlap="1" wp14:anchorId="29EA2424" wp14:editId="16793DA4">
          <wp:simplePos x="0" y="0"/>
          <wp:positionH relativeFrom="page">
            <wp:posOffset>0</wp:posOffset>
          </wp:positionH>
          <wp:positionV relativeFrom="page">
            <wp:posOffset>0</wp:posOffset>
          </wp:positionV>
          <wp:extent cx="7560000" cy="10699200"/>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560000" cy="10699200"/>
                  </a:xfrm>
                  <a:prstGeom prst="rect">
                    <a:avLst/>
                  </a:prstGeom>
                  <a:ln/>
                </pic:spPr>
              </pic:pic>
            </a:graphicData>
          </a:graphic>
        </wp:anchor>
      </w:drawing>
    </w:r>
  </w:p>
  <w:p w14:paraId="0F5AB057" w14:textId="77777777" w:rsidR="008453FF" w:rsidRDefault="008453FF">
    <w:pPr>
      <w:pBdr>
        <w:top w:val="nil"/>
        <w:left w:val="nil"/>
        <w:bottom w:val="nil"/>
        <w:right w:val="nil"/>
        <w:between w:val="nil"/>
      </w:pBdr>
      <w:tabs>
        <w:tab w:val="center" w:pos="4513"/>
        <w:tab w:val="right" w:pos="9026"/>
      </w:tabs>
      <w:spacing w:after="0" w:line="240" w:lineRule="auto"/>
      <w:rPr>
        <w:color w:val="FFFFFF"/>
      </w:rPr>
    </w:pPr>
  </w:p>
  <w:p w14:paraId="252BBF24" w14:textId="77777777" w:rsidR="008453FF" w:rsidRDefault="008453FF">
    <w:pPr>
      <w:pBdr>
        <w:top w:val="nil"/>
        <w:left w:val="nil"/>
        <w:bottom w:val="nil"/>
        <w:right w:val="nil"/>
        <w:between w:val="nil"/>
      </w:pBdr>
      <w:tabs>
        <w:tab w:val="center" w:pos="4513"/>
        <w:tab w:val="right" w:pos="9026"/>
      </w:tabs>
      <w:spacing w:after="0" w:line="240" w:lineRule="auto"/>
      <w:rPr>
        <w:color w:val="FFFFFF"/>
      </w:rPr>
    </w:pPr>
  </w:p>
  <w:p w14:paraId="1A509123" w14:textId="77777777" w:rsidR="008453FF" w:rsidRDefault="008453FF">
    <w:pPr>
      <w:pBdr>
        <w:top w:val="nil"/>
        <w:left w:val="nil"/>
        <w:bottom w:val="nil"/>
        <w:right w:val="nil"/>
        <w:between w:val="nil"/>
      </w:pBdr>
      <w:tabs>
        <w:tab w:val="center" w:pos="4513"/>
        <w:tab w:val="right" w:pos="9026"/>
      </w:tabs>
      <w:spacing w:after="0" w:line="240" w:lineRule="auto"/>
      <w:rPr>
        <w:color w:val="FFFFFF"/>
      </w:rPr>
    </w:pPr>
  </w:p>
  <w:p w14:paraId="1FDCA304" w14:textId="77777777" w:rsidR="008453FF" w:rsidRDefault="008453FF">
    <w:pPr>
      <w:pBdr>
        <w:top w:val="nil"/>
        <w:left w:val="nil"/>
        <w:bottom w:val="nil"/>
        <w:right w:val="nil"/>
        <w:between w:val="nil"/>
      </w:pBdr>
      <w:tabs>
        <w:tab w:val="center" w:pos="4513"/>
        <w:tab w:val="right" w:pos="9026"/>
      </w:tabs>
      <w:spacing w:after="0" w:line="240" w:lineRule="auto"/>
      <w:rPr>
        <w:color w:val="FFFFFF"/>
      </w:rPr>
    </w:pPr>
  </w:p>
  <w:p w14:paraId="6E6685E0" w14:textId="77777777" w:rsidR="008453FF" w:rsidRDefault="008453FF">
    <w:pPr>
      <w:pBdr>
        <w:top w:val="nil"/>
        <w:left w:val="nil"/>
        <w:bottom w:val="nil"/>
        <w:right w:val="nil"/>
        <w:between w:val="nil"/>
      </w:pBdr>
      <w:tabs>
        <w:tab w:val="center" w:pos="4513"/>
        <w:tab w:val="right" w:pos="9026"/>
      </w:tabs>
      <w:spacing w:after="0" w:line="240" w:lineRule="auto"/>
      <w:rPr>
        <w:color w:val="FFFFFF"/>
      </w:rPr>
    </w:pPr>
  </w:p>
  <w:p w14:paraId="6E2ACFC5" w14:textId="77777777" w:rsidR="008453FF" w:rsidRDefault="008453FF">
    <w:pPr>
      <w:pBdr>
        <w:top w:val="nil"/>
        <w:left w:val="nil"/>
        <w:bottom w:val="nil"/>
        <w:right w:val="nil"/>
        <w:between w:val="nil"/>
      </w:pBdr>
      <w:tabs>
        <w:tab w:val="center" w:pos="4513"/>
        <w:tab w:val="right" w:pos="9026"/>
      </w:tabs>
      <w:spacing w:after="0" w:line="240" w:lineRule="auto"/>
      <w:rPr>
        <w:color w:val="FFFFFF"/>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EBCE" w14:textId="77777777" w:rsidR="00450243" w:rsidRPr="000D3E8F" w:rsidRDefault="00450243" w:rsidP="000D3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0E4624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1625C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95B2595C"/>
    <w:lvl w:ilvl="0">
      <w:start w:val="1"/>
      <w:numFmt w:val="bullet"/>
      <w:lvlText w:val="-"/>
      <w:lvlJc w:val="left"/>
      <w:pPr>
        <w:ind w:left="926" w:hanging="360"/>
      </w:pPr>
      <w:rPr>
        <w:rFonts w:ascii="Arial" w:hAnsi="Arial" w:hint="default"/>
        <w:color w:val="D6DCE4" w:themeColor="background2"/>
      </w:rPr>
    </w:lvl>
  </w:abstractNum>
  <w:abstractNum w:abstractNumId="3" w15:restartNumberingAfterBreak="0">
    <w:nsid w:val="FFFFFF83"/>
    <w:multiLevelType w:val="singleLevel"/>
    <w:tmpl w:val="73C27732"/>
    <w:lvl w:ilvl="0">
      <w:start w:val="1"/>
      <w:numFmt w:val="bullet"/>
      <w:lvlText w:val=""/>
      <w:lvlJc w:val="left"/>
      <w:pPr>
        <w:ind w:left="643" w:hanging="360"/>
      </w:pPr>
      <w:rPr>
        <w:rFonts w:ascii="Wingdings" w:hAnsi="Wingdings" w:hint="default"/>
        <w:color w:val="D6DCE4" w:themeColor="background2"/>
      </w:rPr>
    </w:lvl>
  </w:abstractNum>
  <w:abstractNum w:abstractNumId="4" w15:restartNumberingAfterBreak="0">
    <w:nsid w:val="0156674F"/>
    <w:multiLevelType w:val="hybridMultilevel"/>
    <w:tmpl w:val="1B3AE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94585B"/>
    <w:multiLevelType w:val="hybridMultilevel"/>
    <w:tmpl w:val="8B360CC4"/>
    <w:name w:val="RogueTemplatesNumbers2"/>
    <w:lvl w:ilvl="0" w:tplc="49000578">
      <w:start w:val="1"/>
      <w:numFmt w:val="lowerLetter"/>
      <w:lvlText w:val="%1."/>
      <w:lvlJc w:val="left"/>
      <w:pPr>
        <w:ind w:left="1004" w:hanging="360"/>
      </w:pPr>
      <w:rPr>
        <w:rFonts w:hint="default"/>
        <w:color w:val="455560" w:themeColor="text1"/>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05AC3EB9"/>
    <w:multiLevelType w:val="hybridMultilevel"/>
    <w:tmpl w:val="F2AE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EA021F"/>
    <w:multiLevelType w:val="hybridMultilevel"/>
    <w:tmpl w:val="DE30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E3F24"/>
    <w:multiLevelType w:val="hybridMultilevel"/>
    <w:tmpl w:val="20B669C2"/>
    <w:lvl w:ilvl="0" w:tplc="2A0C9AA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B386DD8"/>
    <w:multiLevelType w:val="hybridMultilevel"/>
    <w:tmpl w:val="80F497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E2A66D6"/>
    <w:multiLevelType w:val="hybridMultilevel"/>
    <w:tmpl w:val="5CE88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7424"/>
    <w:multiLevelType w:val="hybridMultilevel"/>
    <w:tmpl w:val="8AD0E238"/>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2" w15:restartNumberingAfterBreak="0">
    <w:nsid w:val="33382659"/>
    <w:multiLevelType w:val="multilevel"/>
    <w:tmpl w:val="A86E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C360C3"/>
    <w:multiLevelType w:val="multilevel"/>
    <w:tmpl w:val="DD186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D76265"/>
    <w:multiLevelType w:val="hybridMultilevel"/>
    <w:tmpl w:val="0056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95FA9"/>
    <w:multiLevelType w:val="hybridMultilevel"/>
    <w:tmpl w:val="555A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72C77"/>
    <w:multiLevelType w:val="hybridMultilevel"/>
    <w:tmpl w:val="23C6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6B3D8B"/>
    <w:multiLevelType w:val="hybridMultilevel"/>
    <w:tmpl w:val="5F885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8A6389"/>
    <w:multiLevelType w:val="multilevel"/>
    <w:tmpl w:val="8D58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A22035"/>
    <w:multiLevelType w:val="hybridMultilevel"/>
    <w:tmpl w:val="6C1E4E0C"/>
    <w:lvl w:ilvl="0" w:tplc="8EE0C99A">
      <w:start w:val="1"/>
      <w:numFmt w:val="bullet"/>
      <w:lvlText w:val=""/>
      <w:lvlJc w:val="left"/>
      <w:pPr>
        <w:ind w:left="720" w:hanging="360"/>
      </w:pPr>
      <w:rPr>
        <w:rFonts w:ascii="Symbol" w:hAnsi="Symbol" w:hint="default"/>
      </w:rPr>
    </w:lvl>
    <w:lvl w:ilvl="1" w:tplc="B862FE60">
      <w:start w:val="1"/>
      <w:numFmt w:val="bullet"/>
      <w:lvlText w:val="o"/>
      <w:lvlJc w:val="left"/>
      <w:pPr>
        <w:ind w:left="1440" w:hanging="360"/>
      </w:pPr>
      <w:rPr>
        <w:rFonts w:ascii="Courier New" w:hAnsi="Courier New" w:hint="default"/>
      </w:rPr>
    </w:lvl>
    <w:lvl w:ilvl="2" w:tplc="30885CF6">
      <w:start w:val="1"/>
      <w:numFmt w:val="bullet"/>
      <w:lvlText w:val=""/>
      <w:lvlJc w:val="left"/>
      <w:pPr>
        <w:ind w:left="2160" w:hanging="360"/>
      </w:pPr>
      <w:rPr>
        <w:rFonts w:ascii="Wingdings" w:hAnsi="Wingdings" w:hint="default"/>
      </w:rPr>
    </w:lvl>
    <w:lvl w:ilvl="3" w:tplc="E154E790">
      <w:start w:val="1"/>
      <w:numFmt w:val="bullet"/>
      <w:lvlText w:val=""/>
      <w:lvlJc w:val="left"/>
      <w:pPr>
        <w:ind w:left="2880" w:hanging="360"/>
      </w:pPr>
      <w:rPr>
        <w:rFonts w:ascii="Symbol" w:hAnsi="Symbol" w:hint="default"/>
      </w:rPr>
    </w:lvl>
    <w:lvl w:ilvl="4" w:tplc="06843B04">
      <w:start w:val="1"/>
      <w:numFmt w:val="bullet"/>
      <w:lvlText w:val="o"/>
      <w:lvlJc w:val="left"/>
      <w:pPr>
        <w:ind w:left="3600" w:hanging="360"/>
      </w:pPr>
      <w:rPr>
        <w:rFonts w:ascii="Courier New" w:hAnsi="Courier New" w:hint="default"/>
      </w:rPr>
    </w:lvl>
    <w:lvl w:ilvl="5" w:tplc="75BAC3FC">
      <w:start w:val="1"/>
      <w:numFmt w:val="bullet"/>
      <w:lvlText w:val=""/>
      <w:lvlJc w:val="left"/>
      <w:pPr>
        <w:ind w:left="4320" w:hanging="360"/>
      </w:pPr>
      <w:rPr>
        <w:rFonts w:ascii="Wingdings" w:hAnsi="Wingdings" w:hint="default"/>
      </w:rPr>
    </w:lvl>
    <w:lvl w:ilvl="6" w:tplc="1048E600">
      <w:start w:val="1"/>
      <w:numFmt w:val="bullet"/>
      <w:lvlText w:val=""/>
      <w:lvlJc w:val="left"/>
      <w:pPr>
        <w:ind w:left="5040" w:hanging="360"/>
      </w:pPr>
      <w:rPr>
        <w:rFonts w:ascii="Symbol" w:hAnsi="Symbol" w:hint="default"/>
      </w:rPr>
    </w:lvl>
    <w:lvl w:ilvl="7" w:tplc="553C3D68">
      <w:start w:val="1"/>
      <w:numFmt w:val="bullet"/>
      <w:lvlText w:val="o"/>
      <w:lvlJc w:val="left"/>
      <w:pPr>
        <w:ind w:left="5760" w:hanging="360"/>
      </w:pPr>
      <w:rPr>
        <w:rFonts w:ascii="Courier New" w:hAnsi="Courier New" w:hint="default"/>
      </w:rPr>
    </w:lvl>
    <w:lvl w:ilvl="8" w:tplc="25BE44CC">
      <w:start w:val="1"/>
      <w:numFmt w:val="bullet"/>
      <w:lvlText w:val=""/>
      <w:lvlJc w:val="left"/>
      <w:pPr>
        <w:ind w:left="6480" w:hanging="360"/>
      </w:pPr>
      <w:rPr>
        <w:rFonts w:ascii="Wingdings" w:hAnsi="Wingdings" w:hint="default"/>
      </w:rPr>
    </w:lvl>
  </w:abstractNum>
  <w:abstractNum w:abstractNumId="20" w15:restartNumberingAfterBreak="0">
    <w:nsid w:val="4C2437C3"/>
    <w:multiLevelType w:val="hybridMultilevel"/>
    <w:tmpl w:val="D19E4D9C"/>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1" w15:restartNumberingAfterBreak="0">
    <w:nsid w:val="4DDF16F8"/>
    <w:multiLevelType w:val="hybridMultilevel"/>
    <w:tmpl w:val="B0CCE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FE4AA5"/>
    <w:multiLevelType w:val="hybridMultilevel"/>
    <w:tmpl w:val="3F98F7DE"/>
    <w:lvl w:ilvl="0" w:tplc="939C5166">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561D58AC"/>
    <w:multiLevelType w:val="hybridMultilevel"/>
    <w:tmpl w:val="8496DF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F0487E"/>
    <w:multiLevelType w:val="hybridMultilevel"/>
    <w:tmpl w:val="5F8255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3B0A7F"/>
    <w:multiLevelType w:val="hybridMultilevel"/>
    <w:tmpl w:val="D01C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74D1D"/>
    <w:multiLevelType w:val="multilevel"/>
    <w:tmpl w:val="53E8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BD1666"/>
    <w:multiLevelType w:val="multilevel"/>
    <w:tmpl w:val="F736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BD50FC"/>
    <w:multiLevelType w:val="hybridMultilevel"/>
    <w:tmpl w:val="1AB61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D4560"/>
    <w:multiLevelType w:val="hybridMultilevel"/>
    <w:tmpl w:val="688C45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C541E4F"/>
    <w:multiLevelType w:val="hybridMultilevel"/>
    <w:tmpl w:val="DC6A7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AB55C3"/>
    <w:multiLevelType w:val="hybridMultilevel"/>
    <w:tmpl w:val="9D7ABB62"/>
    <w:lvl w:ilvl="0" w:tplc="23F24CAA">
      <w:start w:val="1"/>
      <w:numFmt w:val="decimal"/>
      <w:lvlText w:val="%1."/>
      <w:lvlJc w:val="left"/>
      <w:pPr>
        <w:ind w:left="440" w:hanging="284"/>
      </w:pPr>
      <w:rPr>
        <w:rFonts w:ascii="Arial" w:eastAsia="Arial" w:hAnsi="Arial" w:cs="Arial" w:hint="default"/>
        <w:b w:val="0"/>
        <w:bCs w:val="0"/>
        <w:i w:val="0"/>
        <w:iCs w:val="0"/>
        <w:color w:val="0092BA"/>
        <w:spacing w:val="-2"/>
        <w:w w:val="100"/>
        <w:sz w:val="20"/>
        <w:szCs w:val="20"/>
        <w:lang w:val="en-US" w:eastAsia="en-US" w:bidi="ar-SA"/>
      </w:rPr>
    </w:lvl>
    <w:lvl w:ilvl="1" w:tplc="6FF0EA0E">
      <w:numFmt w:val="bullet"/>
      <w:lvlText w:val="•"/>
      <w:lvlJc w:val="left"/>
      <w:pPr>
        <w:ind w:left="1332" w:hanging="284"/>
      </w:pPr>
      <w:rPr>
        <w:rFonts w:hint="default"/>
        <w:lang w:val="en-US" w:eastAsia="en-US" w:bidi="ar-SA"/>
      </w:rPr>
    </w:lvl>
    <w:lvl w:ilvl="2" w:tplc="CAF226C0">
      <w:numFmt w:val="bullet"/>
      <w:lvlText w:val="•"/>
      <w:lvlJc w:val="left"/>
      <w:pPr>
        <w:ind w:left="2224" w:hanging="284"/>
      </w:pPr>
      <w:rPr>
        <w:rFonts w:hint="default"/>
        <w:lang w:val="en-US" w:eastAsia="en-US" w:bidi="ar-SA"/>
      </w:rPr>
    </w:lvl>
    <w:lvl w:ilvl="3" w:tplc="1A045000">
      <w:numFmt w:val="bullet"/>
      <w:lvlText w:val="•"/>
      <w:lvlJc w:val="left"/>
      <w:pPr>
        <w:ind w:left="3117" w:hanging="284"/>
      </w:pPr>
      <w:rPr>
        <w:rFonts w:hint="default"/>
        <w:lang w:val="en-US" w:eastAsia="en-US" w:bidi="ar-SA"/>
      </w:rPr>
    </w:lvl>
    <w:lvl w:ilvl="4" w:tplc="7DB631AA">
      <w:numFmt w:val="bullet"/>
      <w:lvlText w:val="•"/>
      <w:lvlJc w:val="left"/>
      <w:pPr>
        <w:ind w:left="4009" w:hanging="284"/>
      </w:pPr>
      <w:rPr>
        <w:rFonts w:hint="default"/>
        <w:lang w:val="en-US" w:eastAsia="en-US" w:bidi="ar-SA"/>
      </w:rPr>
    </w:lvl>
    <w:lvl w:ilvl="5" w:tplc="C0A287AC">
      <w:numFmt w:val="bullet"/>
      <w:lvlText w:val="•"/>
      <w:lvlJc w:val="left"/>
      <w:pPr>
        <w:ind w:left="4902" w:hanging="284"/>
      </w:pPr>
      <w:rPr>
        <w:rFonts w:hint="default"/>
        <w:lang w:val="en-US" w:eastAsia="en-US" w:bidi="ar-SA"/>
      </w:rPr>
    </w:lvl>
    <w:lvl w:ilvl="6" w:tplc="6B22504E">
      <w:numFmt w:val="bullet"/>
      <w:lvlText w:val="•"/>
      <w:lvlJc w:val="left"/>
      <w:pPr>
        <w:ind w:left="5794" w:hanging="284"/>
      </w:pPr>
      <w:rPr>
        <w:rFonts w:hint="default"/>
        <w:lang w:val="en-US" w:eastAsia="en-US" w:bidi="ar-SA"/>
      </w:rPr>
    </w:lvl>
    <w:lvl w:ilvl="7" w:tplc="0F1ABFDC">
      <w:numFmt w:val="bullet"/>
      <w:lvlText w:val="•"/>
      <w:lvlJc w:val="left"/>
      <w:pPr>
        <w:ind w:left="6686" w:hanging="284"/>
      </w:pPr>
      <w:rPr>
        <w:rFonts w:hint="default"/>
        <w:lang w:val="en-US" w:eastAsia="en-US" w:bidi="ar-SA"/>
      </w:rPr>
    </w:lvl>
    <w:lvl w:ilvl="8" w:tplc="FD486B4A">
      <w:numFmt w:val="bullet"/>
      <w:lvlText w:val="•"/>
      <w:lvlJc w:val="left"/>
      <w:pPr>
        <w:ind w:left="7579" w:hanging="284"/>
      </w:pPr>
      <w:rPr>
        <w:rFonts w:hint="default"/>
        <w:lang w:val="en-US" w:eastAsia="en-US" w:bidi="ar-SA"/>
      </w:rPr>
    </w:lvl>
  </w:abstractNum>
  <w:abstractNum w:abstractNumId="32" w15:restartNumberingAfterBreak="0">
    <w:nsid w:val="6EF575D0"/>
    <w:multiLevelType w:val="multilevel"/>
    <w:tmpl w:val="DEF26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3D872C5"/>
    <w:multiLevelType w:val="multilevel"/>
    <w:tmpl w:val="6B366D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56C1245"/>
    <w:multiLevelType w:val="multilevel"/>
    <w:tmpl w:val="0EBCB202"/>
    <w:lvl w:ilvl="0">
      <w:start w:val="1"/>
      <w:numFmt w:val="decimal"/>
      <w:pStyle w:val="ListBullet"/>
      <w:lvlText w:val="%1."/>
      <w:lvlJc w:val="left"/>
      <w:pPr>
        <w:tabs>
          <w:tab w:val="num" w:pos="720"/>
        </w:tabs>
        <w:ind w:left="720" w:hanging="720"/>
      </w:pPr>
    </w:lvl>
    <w:lvl w:ilvl="1">
      <w:start w:val="1"/>
      <w:numFmt w:val="decimal"/>
      <w:pStyle w:val="ListBulle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71657A1"/>
    <w:multiLevelType w:val="multilevel"/>
    <w:tmpl w:val="1164918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C47C70"/>
    <w:multiLevelType w:val="hybridMultilevel"/>
    <w:tmpl w:val="075C90AE"/>
    <w:lvl w:ilvl="0" w:tplc="D61CB1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EB3D09"/>
    <w:multiLevelType w:val="hybridMultilevel"/>
    <w:tmpl w:val="C8761060"/>
    <w:lvl w:ilvl="0" w:tplc="7D989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BF0EB5"/>
    <w:multiLevelType w:val="hybridMultilevel"/>
    <w:tmpl w:val="EF12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001D4"/>
    <w:multiLevelType w:val="hybridMultilevel"/>
    <w:tmpl w:val="9DFA049C"/>
    <w:lvl w:ilvl="0" w:tplc="55AAB0F0">
      <w:start w:val="1"/>
      <w:numFmt w:val="bullet"/>
      <w:lvlText w:val=""/>
      <w:lvlJc w:val="left"/>
      <w:pPr>
        <w:ind w:left="720" w:hanging="360"/>
      </w:pPr>
      <w:rPr>
        <w:rFonts w:ascii="Symbol" w:hAnsi="Symbol" w:hint="default"/>
      </w:rPr>
    </w:lvl>
    <w:lvl w:ilvl="1" w:tplc="606C7F50">
      <w:start w:val="1"/>
      <w:numFmt w:val="bullet"/>
      <w:lvlText w:val="o"/>
      <w:lvlJc w:val="left"/>
      <w:pPr>
        <w:ind w:left="1440" w:hanging="360"/>
      </w:pPr>
      <w:rPr>
        <w:rFonts w:ascii="Courier New" w:hAnsi="Courier New" w:hint="default"/>
      </w:rPr>
    </w:lvl>
    <w:lvl w:ilvl="2" w:tplc="82B86C5E">
      <w:start w:val="1"/>
      <w:numFmt w:val="bullet"/>
      <w:lvlText w:val=""/>
      <w:lvlJc w:val="left"/>
      <w:pPr>
        <w:ind w:left="2160" w:hanging="360"/>
      </w:pPr>
      <w:rPr>
        <w:rFonts w:ascii="Wingdings" w:hAnsi="Wingdings" w:hint="default"/>
      </w:rPr>
    </w:lvl>
    <w:lvl w:ilvl="3" w:tplc="F2E03860">
      <w:start w:val="1"/>
      <w:numFmt w:val="bullet"/>
      <w:lvlText w:val=""/>
      <w:lvlJc w:val="left"/>
      <w:pPr>
        <w:ind w:left="2880" w:hanging="360"/>
      </w:pPr>
      <w:rPr>
        <w:rFonts w:ascii="Symbol" w:hAnsi="Symbol" w:hint="default"/>
      </w:rPr>
    </w:lvl>
    <w:lvl w:ilvl="4" w:tplc="130C3320">
      <w:start w:val="1"/>
      <w:numFmt w:val="bullet"/>
      <w:lvlText w:val="o"/>
      <w:lvlJc w:val="left"/>
      <w:pPr>
        <w:ind w:left="3600" w:hanging="360"/>
      </w:pPr>
      <w:rPr>
        <w:rFonts w:ascii="Courier New" w:hAnsi="Courier New" w:hint="default"/>
      </w:rPr>
    </w:lvl>
    <w:lvl w:ilvl="5" w:tplc="CD025EF0">
      <w:start w:val="1"/>
      <w:numFmt w:val="bullet"/>
      <w:lvlText w:val=""/>
      <w:lvlJc w:val="left"/>
      <w:pPr>
        <w:ind w:left="4320" w:hanging="360"/>
      </w:pPr>
      <w:rPr>
        <w:rFonts w:ascii="Wingdings" w:hAnsi="Wingdings" w:hint="default"/>
      </w:rPr>
    </w:lvl>
    <w:lvl w:ilvl="6" w:tplc="9AF42414">
      <w:start w:val="1"/>
      <w:numFmt w:val="bullet"/>
      <w:lvlText w:val=""/>
      <w:lvlJc w:val="left"/>
      <w:pPr>
        <w:ind w:left="5040" w:hanging="360"/>
      </w:pPr>
      <w:rPr>
        <w:rFonts w:ascii="Symbol" w:hAnsi="Symbol" w:hint="default"/>
      </w:rPr>
    </w:lvl>
    <w:lvl w:ilvl="7" w:tplc="545A86A8">
      <w:start w:val="1"/>
      <w:numFmt w:val="bullet"/>
      <w:lvlText w:val="o"/>
      <w:lvlJc w:val="left"/>
      <w:pPr>
        <w:ind w:left="5760" w:hanging="360"/>
      </w:pPr>
      <w:rPr>
        <w:rFonts w:ascii="Courier New" w:hAnsi="Courier New" w:hint="default"/>
      </w:rPr>
    </w:lvl>
    <w:lvl w:ilvl="8" w:tplc="76286656">
      <w:start w:val="1"/>
      <w:numFmt w:val="bullet"/>
      <w:lvlText w:val=""/>
      <w:lvlJc w:val="left"/>
      <w:pPr>
        <w:ind w:left="6480" w:hanging="360"/>
      </w:pPr>
      <w:rPr>
        <w:rFonts w:ascii="Wingdings" w:hAnsi="Wingdings" w:hint="default"/>
      </w:rPr>
    </w:lvl>
  </w:abstractNum>
  <w:abstractNum w:abstractNumId="40" w15:restartNumberingAfterBreak="0">
    <w:nsid w:val="7D7A1670"/>
    <w:multiLevelType w:val="hybridMultilevel"/>
    <w:tmpl w:val="F50A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629832">
    <w:abstractNumId w:val="34"/>
  </w:num>
  <w:num w:numId="2" w16cid:durableId="8488322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2854992">
    <w:abstractNumId w:val="19"/>
  </w:num>
  <w:num w:numId="4" w16cid:durableId="42486381">
    <w:abstractNumId w:val="39"/>
  </w:num>
  <w:num w:numId="5" w16cid:durableId="135493419">
    <w:abstractNumId w:val="3"/>
  </w:num>
  <w:num w:numId="6" w16cid:durableId="545260536">
    <w:abstractNumId w:val="2"/>
  </w:num>
  <w:num w:numId="7" w16cid:durableId="1054547684">
    <w:abstractNumId w:val="1"/>
  </w:num>
  <w:num w:numId="8" w16cid:durableId="1183016074">
    <w:abstractNumId w:val="0"/>
  </w:num>
  <w:num w:numId="9" w16cid:durableId="2083871609">
    <w:abstractNumId w:val="5"/>
  </w:num>
  <w:num w:numId="10" w16cid:durableId="1670521673">
    <w:abstractNumId w:val="35"/>
  </w:num>
  <w:num w:numId="11" w16cid:durableId="1428884777">
    <w:abstractNumId w:val="13"/>
  </w:num>
  <w:num w:numId="12" w16cid:durableId="31267258">
    <w:abstractNumId w:val="33"/>
  </w:num>
  <w:num w:numId="13" w16cid:durableId="431321389">
    <w:abstractNumId w:val="32"/>
  </w:num>
  <w:num w:numId="14" w16cid:durableId="652489196">
    <w:abstractNumId w:val="8"/>
  </w:num>
  <w:num w:numId="15" w16cid:durableId="1784378217">
    <w:abstractNumId w:val="37"/>
  </w:num>
  <w:num w:numId="16" w16cid:durableId="1254122459">
    <w:abstractNumId w:val="38"/>
  </w:num>
  <w:num w:numId="17" w16cid:durableId="37318063">
    <w:abstractNumId w:val="29"/>
  </w:num>
  <w:num w:numId="18" w16cid:durableId="907762216">
    <w:abstractNumId w:val="36"/>
  </w:num>
  <w:num w:numId="19" w16cid:durableId="1892181533">
    <w:abstractNumId w:val="31"/>
  </w:num>
  <w:num w:numId="20" w16cid:durableId="993920118">
    <w:abstractNumId w:val="25"/>
  </w:num>
  <w:num w:numId="21" w16cid:durableId="1327440415">
    <w:abstractNumId w:val="17"/>
  </w:num>
  <w:num w:numId="22" w16cid:durableId="2132281586">
    <w:abstractNumId w:val="20"/>
  </w:num>
  <w:num w:numId="23" w16cid:durableId="1204060036">
    <w:abstractNumId w:val="11"/>
  </w:num>
  <w:num w:numId="24" w16cid:durableId="942104271">
    <w:abstractNumId w:val="7"/>
  </w:num>
  <w:num w:numId="25" w16cid:durableId="1998608445">
    <w:abstractNumId w:val="30"/>
  </w:num>
  <w:num w:numId="26" w16cid:durableId="1336373555">
    <w:abstractNumId w:val="40"/>
  </w:num>
  <w:num w:numId="27" w16cid:durableId="128673693">
    <w:abstractNumId w:val="15"/>
  </w:num>
  <w:num w:numId="28" w16cid:durableId="1772122346">
    <w:abstractNumId w:val="4"/>
  </w:num>
  <w:num w:numId="29" w16cid:durableId="713506747">
    <w:abstractNumId w:val="16"/>
  </w:num>
  <w:num w:numId="30" w16cid:durableId="1867022084">
    <w:abstractNumId w:val="10"/>
  </w:num>
  <w:num w:numId="31" w16cid:durableId="790780960">
    <w:abstractNumId w:val="28"/>
  </w:num>
  <w:num w:numId="32" w16cid:durableId="1129393902">
    <w:abstractNumId w:val="24"/>
  </w:num>
  <w:num w:numId="33" w16cid:durableId="1346178229">
    <w:abstractNumId w:val="9"/>
  </w:num>
  <w:num w:numId="34" w16cid:durableId="1066877320">
    <w:abstractNumId w:val="22"/>
  </w:num>
  <w:num w:numId="35" w16cid:durableId="751467967">
    <w:abstractNumId w:val="21"/>
  </w:num>
  <w:num w:numId="36" w16cid:durableId="1950812116">
    <w:abstractNumId w:val="6"/>
  </w:num>
  <w:num w:numId="37" w16cid:durableId="103162623">
    <w:abstractNumId w:val="23"/>
  </w:num>
  <w:num w:numId="38" w16cid:durableId="1529755036">
    <w:abstractNumId w:val="18"/>
  </w:num>
  <w:num w:numId="39" w16cid:durableId="75324916">
    <w:abstractNumId w:val="26"/>
  </w:num>
  <w:num w:numId="40" w16cid:durableId="1215004145">
    <w:abstractNumId w:val="12"/>
  </w:num>
  <w:num w:numId="41" w16cid:durableId="815492012">
    <w:abstractNumId w:val="27"/>
  </w:num>
  <w:num w:numId="42" w16cid:durableId="13261271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3FF"/>
    <w:rsid w:val="000E61A5"/>
    <w:rsid w:val="0013182F"/>
    <w:rsid w:val="004212C5"/>
    <w:rsid w:val="00450243"/>
    <w:rsid w:val="007F0931"/>
    <w:rsid w:val="008453FF"/>
    <w:rsid w:val="009219A8"/>
    <w:rsid w:val="00C71950"/>
    <w:rsid w:val="00DA246A"/>
    <w:rsid w:val="00FB2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EA0C2"/>
  <w15:docId w15:val="{5F588E01-6931-4E16-A157-EC6387B9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859"/>
  </w:style>
  <w:style w:type="paragraph" w:styleId="Heading1">
    <w:name w:val="heading 1"/>
    <w:basedOn w:val="BodyText"/>
    <w:next w:val="BodyText"/>
    <w:link w:val="Heading1Char"/>
    <w:uiPriority w:val="9"/>
    <w:qFormat/>
    <w:rsid w:val="008A130E"/>
    <w:pPr>
      <w:spacing w:before="480" w:after="400"/>
      <w:outlineLvl w:val="0"/>
    </w:pPr>
    <w:rPr>
      <w:b/>
      <w:bCs/>
      <w:color w:val="0092BB" w:themeColor="text2"/>
      <w:sz w:val="36"/>
      <w:szCs w:val="60"/>
    </w:rPr>
  </w:style>
  <w:style w:type="paragraph" w:styleId="Heading2">
    <w:name w:val="heading 2"/>
    <w:basedOn w:val="BodyText"/>
    <w:next w:val="BodyText"/>
    <w:link w:val="Heading2Char"/>
    <w:uiPriority w:val="9"/>
    <w:unhideWhenUsed/>
    <w:qFormat/>
    <w:rsid w:val="008133B5"/>
    <w:pPr>
      <w:spacing w:before="360" w:after="240"/>
      <w:outlineLvl w:val="1"/>
    </w:pPr>
    <w:rPr>
      <w:b/>
      <w:bCs/>
      <w:color w:val="0092BB" w:themeColor="text2"/>
      <w:sz w:val="28"/>
      <w:szCs w:val="36"/>
    </w:rPr>
  </w:style>
  <w:style w:type="paragraph" w:styleId="Heading3">
    <w:name w:val="heading 3"/>
    <w:basedOn w:val="BodyText"/>
    <w:next w:val="BodyText"/>
    <w:link w:val="Heading3Char"/>
    <w:uiPriority w:val="9"/>
    <w:unhideWhenUsed/>
    <w:qFormat/>
    <w:rsid w:val="00BA3CB0"/>
    <w:pPr>
      <w:spacing w:before="240"/>
      <w:outlineLvl w:val="2"/>
    </w:pPr>
    <w:rPr>
      <w:b/>
      <w:bCs/>
      <w:color w:val="0092BB" w:themeColor="text2"/>
      <w:sz w:val="23"/>
      <w:szCs w:val="23"/>
      <w:lang w:val="fr-FR"/>
    </w:rPr>
  </w:style>
  <w:style w:type="paragraph" w:styleId="Heading4">
    <w:name w:val="heading 4"/>
    <w:basedOn w:val="BodyText"/>
    <w:next w:val="BodyText"/>
    <w:link w:val="Heading4Char"/>
    <w:uiPriority w:val="9"/>
    <w:unhideWhenUsed/>
    <w:qFormat/>
    <w:rsid w:val="00BA3CB0"/>
    <w:pPr>
      <w:spacing w:before="240" w:after="60"/>
      <w:outlineLvl w:val="3"/>
    </w:pPr>
    <w:rPr>
      <w:b/>
      <w:bCs/>
      <w:color w:val="0092BB" w:themeColor="text2"/>
    </w:rPr>
  </w:style>
  <w:style w:type="paragraph" w:styleId="Heading5">
    <w:name w:val="heading 5"/>
    <w:basedOn w:val="Normal"/>
    <w:next w:val="Normal"/>
    <w:link w:val="Heading5Char"/>
    <w:uiPriority w:val="9"/>
    <w:unhideWhenUsed/>
    <w:qFormat/>
    <w:rsid w:val="00E1328E"/>
    <w:pPr>
      <w:keepNext/>
      <w:keepLines/>
      <w:spacing w:before="220" w:after="40"/>
      <w:ind w:firstLine="284"/>
      <w:jc w:val="both"/>
      <w:outlineLvl w:val="4"/>
    </w:pPr>
    <w:rPr>
      <w:rFonts w:ascii="Calibri" w:eastAsia="Calibri" w:hAnsi="Calibri" w:cs="Calibri"/>
      <w:b/>
      <w:sz w:val="22"/>
      <w:lang w:eastAsia="en-GB"/>
    </w:rPr>
  </w:style>
  <w:style w:type="paragraph" w:styleId="Heading6">
    <w:name w:val="heading 6"/>
    <w:basedOn w:val="Normal"/>
    <w:next w:val="Normal"/>
    <w:link w:val="Heading6Char"/>
    <w:uiPriority w:val="9"/>
    <w:semiHidden/>
    <w:unhideWhenUsed/>
    <w:qFormat/>
    <w:rsid w:val="00E1328E"/>
    <w:pPr>
      <w:keepNext/>
      <w:keepLines/>
      <w:spacing w:before="200" w:after="40"/>
      <w:ind w:firstLine="284"/>
      <w:jc w:val="both"/>
      <w:outlineLvl w:val="5"/>
    </w:pPr>
    <w:rPr>
      <w:rFonts w:ascii="Calibri" w:eastAsia="Calibri" w:hAnsi="Calibri" w:cs="Calibri"/>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BodyText"/>
    <w:link w:val="TitleChar"/>
    <w:uiPriority w:val="10"/>
    <w:qFormat/>
    <w:rsid w:val="00983245"/>
    <w:pPr>
      <w:spacing w:after="200" w:line="240" w:lineRule="auto"/>
      <w:contextualSpacing/>
    </w:pPr>
    <w:rPr>
      <w:rFonts w:asciiTheme="majorHAnsi" w:eastAsiaTheme="majorEastAsia" w:hAnsiTheme="majorHAnsi" w:cstheme="majorBidi"/>
      <w:b/>
      <w:caps/>
      <w:color w:val="0092BB" w:themeColor="text2"/>
      <w:spacing w:val="40"/>
      <w:kern w:val="28"/>
      <w:sz w:val="66"/>
      <w:szCs w:val="56"/>
    </w:rPr>
  </w:style>
  <w:style w:type="character" w:customStyle="1" w:styleId="Heading1Char">
    <w:name w:val="Heading 1 Char"/>
    <w:basedOn w:val="DefaultParagraphFont"/>
    <w:link w:val="Heading1"/>
    <w:uiPriority w:val="9"/>
    <w:rsid w:val="008A130E"/>
    <w:rPr>
      <w:b/>
      <w:bCs/>
      <w:color w:val="0092BB" w:themeColor="text2"/>
      <w:sz w:val="36"/>
      <w:szCs w:val="60"/>
    </w:rPr>
  </w:style>
  <w:style w:type="character" w:customStyle="1" w:styleId="Heading2Char">
    <w:name w:val="Heading 2 Char"/>
    <w:basedOn w:val="DefaultParagraphFont"/>
    <w:link w:val="Heading2"/>
    <w:uiPriority w:val="9"/>
    <w:rsid w:val="008133B5"/>
    <w:rPr>
      <w:b/>
      <w:bCs/>
      <w:color w:val="0092BB" w:themeColor="text2"/>
      <w:sz w:val="28"/>
      <w:szCs w:val="36"/>
    </w:rPr>
  </w:style>
  <w:style w:type="paragraph" w:styleId="ListBullet">
    <w:name w:val="List Bullet"/>
    <w:aliases w:val="List B1"/>
    <w:basedOn w:val="Normal"/>
    <w:uiPriority w:val="2"/>
    <w:qFormat/>
    <w:rsid w:val="00DD49FF"/>
    <w:pPr>
      <w:numPr>
        <w:numId w:val="1"/>
      </w:numPr>
      <w:spacing w:after="120"/>
    </w:pPr>
    <w:rPr>
      <w:color w:val="455560" w:themeColor="text1"/>
    </w:rPr>
  </w:style>
  <w:style w:type="paragraph" w:styleId="ListBullet2">
    <w:name w:val="List Bullet 2"/>
    <w:aliases w:val="List B2"/>
    <w:basedOn w:val="Normal"/>
    <w:uiPriority w:val="10"/>
    <w:qFormat/>
    <w:rsid w:val="00DD49FF"/>
    <w:pPr>
      <w:numPr>
        <w:ilvl w:val="1"/>
        <w:numId w:val="1"/>
      </w:numPr>
      <w:spacing w:after="120"/>
    </w:pPr>
    <w:rPr>
      <w:color w:val="455560" w:themeColor="text1"/>
    </w:rPr>
  </w:style>
  <w:style w:type="paragraph" w:styleId="ListBullet3">
    <w:name w:val="List Bullet 3"/>
    <w:basedOn w:val="Normal"/>
    <w:uiPriority w:val="10"/>
    <w:semiHidden/>
    <w:qFormat/>
    <w:rsid w:val="00B0568F"/>
    <w:pPr>
      <w:contextualSpacing/>
    </w:pPr>
  </w:style>
  <w:style w:type="paragraph" w:styleId="BodyText">
    <w:name w:val="Body Text"/>
    <w:basedOn w:val="Normal"/>
    <w:link w:val="BodyTextChar"/>
    <w:uiPriority w:val="1"/>
    <w:qFormat/>
    <w:rsid w:val="000D1E04"/>
    <w:pPr>
      <w:spacing w:after="120"/>
    </w:pPr>
    <w:rPr>
      <w:color w:val="455560" w:themeColor="text1"/>
    </w:rPr>
  </w:style>
  <w:style w:type="character" w:customStyle="1" w:styleId="BodyTextChar">
    <w:name w:val="Body Text Char"/>
    <w:basedOn w:val="DefaultParagraphFont"/>
    <w:link w:val="BodyText"/>
    <w:uiPriority w:val="1"/>
    <w:rsid w:val="000D1E04"/>
    <w:rPr>
      <w:color w:val="455560" w:themeColor="text1"/>
      <w:sz w:val="20"/>
    </w:rPr>
  </w:style>
  <w:style w:type="paragraph" w:styleId="ListNumber">
    <w:name w:val="List Number"/>
    <w:aliases w:val="List N1"/>
    <w:basedOn w:val="Normal"/>
    <w:uiPriority w:val="3"/>
    <w:qFormat/>
    <w:rsid w:val="00DD49FF"/>
    <w:pPr>
      <w:tabs>
        <w:tab w:val="num" w:pos="720"/>
      </w:tabs>
      <w:spacing w:after="120"/>
      <w:ind w:left="720" w:hanging="720"/>
    </w:pPr>
    <w:rPr>
      <w:color w:val="455560" w:themeColor="text1"/>
    </w:rPr>
  </w:style>
  <w:style w:type="paragraph" w:styleId="ListNumber2">
    <w:name w:val="List Number 2"/>
    <w:aliases w:val="List N2"/>
    <w:basedOn w:val="Normal"/>
    <w:uiPriority w:val="11"/>
    <w:qFormat/>
    <w:rsid w:val="00DD49FF"/>
    <w:pPr>
      <w:tabs>
        <w:tab w:val="num" w:pos="1440"/>
      </w:tabs>
      <w:spacing w:after="120"/>
      <w:ind w:left="1440" w:hanging="720"/>
    </w:pPr>
    <w:rPr>
      <w:color w:val="455560" w:themeColor="text1"/>
    </w:rPr>
  </w:style>
  <w:style w:type="paragraph" w:styleId="ListNumber3">
    <w:name w:val="List Number 3"/>
    <w:basedOn w:val="Normal"/>
    <w:uiPriority w:val="38"/>
    <w:semiHidden/>
    <w:qFormat/>
    <w:rsid w:val="00B0568F"/>
    <w:pPr>
      <w:contextualSpacing/>
    </w:pPr>
  </w:style>
  <w:style w:type="character" w:customStyle="1" w:styleId="Heading3Char">
    <w:name w:val="Heading 3 Char"/>
    <w:basedOn w:val="DefaultParagraphFont"/>
    <w:link w:val="Heading3"/>
    <w:uiPriority w:val="9"/>
    <w:rsid w:val="00BA3CB0"/>
    <w:rPr>
      <w:b/>
      <w:bCs/>
      <w:color w:val="0092BB" w:themeColor="text2"/>
      <w:sz w:val="23"/>
      <w:szCs w:val="23"/>
      <w:lang w:val="fr-FR"/>
    </w:rPr>
  </w:style>
  <w:style w:type="paragraph" w:styleId="Header">
    <w:name w:val="header"/>
    <w:basedOn w:val="Normal"/>
    <w:link w:val="HeaderChar"/>
    <w:uiPriority w:val="99"/>
    <w:rsid w:val="00240839"/>
    <w:pPr>
      <w:tabs>
        <w:tab w:val="center" w:pos="4513"/>
        <w:tab w:val="right" w:pos="9026"/>
      </w:tabs>
      <w:spacing w:after="0" w:line="240" w:lineRule="auto"/>
    </w:pPr>
    <w:rPr>
      <w:color w:val="FFFFFF" w:themeColor="background1"/>
    </w:rPr>
  </w:style>
  <w:style w:type="character" w:customStyle="1" w:styleId="HeaderChar">
    <w:name w:val="Header Char"/>
    <w:basedOn w:val="DefaultParagraphFont"/>
    <w:link w:val="Header"/>
    <w:uiPriority w:val="99"/>
    <w:rsid w:val="00563368"/>
    <w:rPr>
      <w:color w:val="FFFFFF" w:themeColor="background1"/>
      <w:sz w:val="20"/>
    </w:rPr>
  </w:style>
  <w:style w:type="paragraph" w:styleId="Footer">
    <w:name w:val="footer"/>
    <w:basedOn w:val="Normal"/>
    <w:link w:val="FooterChar"/>
    <w:uiPriority w:val="99"/>
    <w:rsid w:val="00240839"/>
    <w:pPr>
      <w:tabs>
        <w:tab w:val="center" w:pos="4513"/>
        <w:tab w:val="right" w:pos="9026"/>
      </w:tabs>
      <w:spacing w:after="0" w:line="240" w:lineRule="auto"/>
    </w:pPr>
    <w:rPr>
      <w:color w:val="FFFFFF" w:themeColor="background1"/>
      <w:sz w:val="17"/>
    </w:rPr>
  </w:style>
  <w:style w:type="character" w:customStyle="1" w:styleId="FooterChar">
    <w:name w:val="Footer Char"/>
    <w:basedOn w:val="DefaultParagraphFont"/>
    <w:link w:val="Footer"/>
    <w:uiPriority w:val="99"/>
    <w:rsid w:val="00563368"/>
    <w:rPr>
      <w:color w:val="FFFFFF" w:themeColor="background1"/>
      <w:sz w:val="17"/>
    </w:rPr>
  </w:style>
  <w:style w:type="paragraph" w:styleId="BalloonText">
    <w:name w:val="Balloon Text"/>
    <w:basedOn w:val="Normal"/>
    <w:link w:val="BalloonTextChar"/>
    <w:uiPriority w:val="99"/>
    <w:semiHidden/>
    <w:unhideWhenUsed/>
    <w:rsid w:val="00870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E0B"/>
    <w:rPr>
      <w:rFonts w:ascii="Segoe UI" w:hAnsi="Segoe UI" w:cs="Segoe UI"/>
      <w:sz w:val="18"/>
      <w:szCs w:val="18"/>
    </w:rPr>
  </w:style>
  <w:style w:type="table" w:styleId="TableGrid">
    <w:name w:val="Table Grid"/>
    <w:basedOn w:val="TableNormal"/>
    <w:uiPriority w:val="39"/>
    <w:rsid w:val="00636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ithline">
    <w:name w:val="Footer (with line)"/>
    <w:basedOn w:val="Normal"/>
    <w:uiPriority w:val="36"/>
    <w:rsid w:val="00240839"/>
    <w:pPr>
      <w:pBdr>
        <w:top w:val="single" w:sz="12" w:space="6" w:color="0092BB" w:themeColor="text2"/>
      </w:pBdr>
      <w:tabs>
        <w:tab w:val="center" w:pos="4513"/>
        <w:tab w:val="right" w:pos="9026"/>
      </w:tabs>
      <w:spacing w:after="0" w:line="240" w:lineRule="auto"/>
    </w:pPr>
    <w:rPr>
      <w:b/>
      <w:caps/>
      <w:color w:val="0092BB" w:themeColor="text2"/>
      <w:sz w:val="17"/>
    </w:rPr>
  </w:style>
  <w:style w:type="paragraph" w:styleId="NoSpacing">
    <w:name w:val="No Spacing"/>
    <w:aliases w:val="No Spc"/>
    <w:uiPriority w:val="1"/>
    <w:qFormat/>
    <w:rsid w:val="00A15E42"/>
    <w:pPr>
      <w:spacing w:after="0" w:line="240" w:lineRule="auto"/>
    </w:pPr>
    <w:rPr>
      <w:color w:val="455560" w:themeColor="text1"/>
    </w:rPr>
  </w:style>
  <w:style w:type="character" w:customStyle="1" w:styleId="TitleChar">
    <w:name w:val="Title Char"/>
    <w:basedOn w:val="DefaultParagraphFont"/>
    <w:link w:val="Title"/>
    <w:uiPriority w:val="31"/>
    <w:rsid w:val="00983245"/>
    <w:rPr>
      <w:rFonts w:asciiTheme="majorHAnsi" w:eastAsiaTheme="majorEastAsia" w:hAnsiTheme="majorHAnsi" w:cstheme="majorBidi"/>
      <w:b/>
      <w:caps/>
      <w:color w:val="0092BB" w:themeColor="text2"/>
      <w:spacing w:val="40"/>
      <w:kern w:val="28"/>
      <w:sz w:val="66"/>
      <w:szCs w:val="56"/>
    </w:rPr>
  </w:style>
  <w:style w:type="paragraph" w:styleId="Subtitle">
    <w:name w:val="Subtitle"/>
    <w:basedOn w:val="Normal"/>
    <w:next w:val="Normal"/>
    <w:link w:val="SubtitleChar"/>
    <w:uiPriority w:val="11"/>
    <w:qFormat/>
    <w:pPr>
      <w:spacing w:after="0" w:line="240" w:lineRule="auto"/>
    </w:pPr>
    <w:rPr>
      <w:color w:val="455560"/>
      <w:sz w:val="36"/>
      <w:szCs w:val="36"/>
    </w:rPr>
  </w:style>
  <w:style w:type="character" w:customStyle="1" w:styleId="SubtitleChar">
    <w:name w:val="Subtitle Char"/>
    <w:basedOn w:val="DefaultParagraphFont"/>
    <w:link w:val="Subtitle"/>
    <w:uiPriority w:val="32"/>
    <w:rsid w:val="00563368"/>
    <w:rPr>
      <w:color w:val="455560" w:themeColor="text1"/>
      <w:spacing w:val="20"/>
      <w:sz w:val="36"/>
    </w:rPr>
  </w:style>
  <w:style w:type="paragraph" w:customStyle="1" w:styleId="DisclaimerTitle">
    <w:name w:val="Disclaimer Title"/>
    <w:basedOn w:val="BodyText"/>
    <w:uiPriority w:val="34"/>
    <w:rsid w:val="00DE298A"/>
    <w:pPr>
      <w:spacing w:after="360"/>
    </w:pPr>
    <w:rPr>
      <w:b/>
      <w:color w:val="0092BB" w:themeColor="text2"/>
      <w:sz w:val="18"/>
    </w:rPr>
  </w:style>
  <w:style w:type="character" w:styleId="PlaceholderText">
    <w:name w:val="Placeholder Text"/>
    <w:basedOn w:val="DefaultParagraphFont"/>
    <w:uiPriority w:val="99"/>
    <w:semiHidden/>
    <w:rsid w:val="000D1E04"/>
    <w:rPr>
      <w:color w:val="808080"/>
    </w:rPr>
  </w:style>
  <w:style w:type="table" w:customStyle="1" w:styleId="ETF2021">
    <w:name w:val="ETF2021"/>
    <w:basedOn w:val="TableNormal"/>
    <w:uiPriority w:val="99"/>
    <w:rsid w:val="00030FBC"/>
    <w:pPr>
      <w:spacing w:after="0" w:line="240" w:lineRule="auto"/>
    </w:pPr>
    <w:tblPr>
      <w:tblBorders>
        <w:top w:val="single" w:sz="12" w:space="0" w:color="0092BB" w:themeColor="text2"/>
        <w:bottom w:val="single" w:sz="12" w:space="0" w:color="0092BB" w:themeColor="text2"/>
        <w:insideH w:val="single" w:sz="8" w:space="0" w:color="CBD0D3"/>
        <w:insideV w:val="single" w:sz="8" w:space="0" w:color="CBD0D3"/>
      </w:tblBorders>
      <w:tblCellMar>
        <w:top w:w="113" w:type="dxa"/>
        <w:bottom w:w="113" w:type="dxa"/>
      </w:tblCellMar>
    </w:tblPr>
    <w:tcPr>
      <w:shd w:val="clear" w:color="auto" w:fill="F9F9F9"/>
    </w:tcPr>
    <w:tblStylePr w:type="firstRow">
      <w:tblPr/>
      <w:tcPr>
        <w:tcBorders>
          <w:top w:val="single" w:sz="12" w:space="0" w:color="0092BB" w:themeColor="text2"/>
          <w:left w:val="nil"/>
          <w:bottom w:val="single" w:sz="12" w:space="0" w:color="0092BB" w:themeColor="text2"/>
          <w:right w:val="nil"/>
          <w:insideH w:val="nil"/>
          <w:insideV w:val="single" w:sz="8" w:space="0" w:color="CBD0D3"/>
          <w:tl2br w:val="nil"/>
          <w:tr2bl w:val="nil"/>
        </w:tcBorders>
        <w:shd w:val="clear" w:color="auto" w:fill="F9F9F9"/>
      </w:tcPr>
    </w:tblStylePr>
  </w:style>
  <w:style w:type="paragraph" w:customStyle="1" w:styleId="TableHeading">
    <w:name w:val="Table Heading"/>
    <w:aliases w:val="Tbl Hdg"/>
    <w:basedOn w:val="BodyText"/>
    <w:uiPriority w:val="14"/>
    <w:qFormat/>
    <w:rsid w:val="00030FBC"/>
    <w:pPr>
      <w:spacing w:after="0" w:line="240" w:lineRule="auto"/>
    </w:pPr>
    <w:rPr>
      <w:b/>
      <w:color w:val="0092BB" w:themeColor="text2"/>
      <w:sz w:val="18"/>
    </w:rPr>
  </w:style>
  <w:style w:type="paragraph" w:customStyle="1" w:styleId="TableText">
    <w:name w:val="Table Text"/>
    <w:aliases w:val="Tbl Txt"/>
    <w:basedOn w:val="BodyText"/>
    <w:uiPriority w:val="16"/>
    <w:qFormat/>
    <w:rsid w:val="007C1030"/>
    <w:pPr>
      <w:spacing w:after="0" w:line="240" w:lineRule="auto"/>
    </w:pPr>
    <w:rPr>
      <w:sz w:val="17"/>
    </w:rPr>
  </w:style>
  <w:style w:type="paragraph" w:customStyle="1" w:styleId="Call-outText">
    <w:name w:val="Call-out Text"/>
    <w:aliases w:val="CO Txt"/>
    <w:basedOn w:val="BodyText"/>
    <w:uiPriority w:val="19"/>
    <w:qFormat/>
    <w:rsid w:val="00B0568F"/>
    <w:pPr>
      <w:spacing w:line="240" w:lineRule="auto"/>
    </w:pPr>
    <w:rPr>
      <w:sz w:val="18"/>
      <w:szCs w:val="18"/>
    </w:rPr>
  </w:style>
  <w:style w:type="paragraph" w:customStyle="1" w:styleId="Call-outSource">
    <w:name w:val="Call-out Source"/>
    <w:aliases w:val="CO Src"/>
    <w:basedOn w:val="Call-outText"/>
    <w:uiPriority w:val="20"/>
    <w:qFormat/>
    <w:rsid w:val="00B0568F"/>
    <w:pPr>
      <w:spacing w:before="360"/>
    </w:pPr>
    <w:rPr>
      <w:color w:val="0092BB" w:themeColor="text2"/>
      <w:sz w:val="16"/>
    </w:rPr>
  </w:style>
  <w:style w:type="paragraph" w:customStyle="1" w:styleId="Call-outTitle">
    <w:name w:val="Call-out Title"/>
    <w:aliases w:val="CO Ttl"/>
    <w:basedOn w:val="BodyText"/>
    <w:uiPriority w:val="18"/>
    <w:qFormat/>
    <w:rsid w:val="00B0568F"/>
    <w:pPr>
      <w:spacing w:after="320" w:line="240" w:lineRule="auto"/>
    </w:pPr>
    <w:rPr>
      <w:b/>
      <w:bCs/>
      <w:color w:val="0092BB" w:themeColor="text2"/>
    </w:rPr>
  </w:style>
  <w:style w:type="character" w:customStyle="1" w:styleId="Heading4Char">
    <w:name w:val="Heading 4 Char"/>
    <w:basedOn w:val="DefaultParagraphFont"/>
    <w:link w:val="Heading4"/>
    <w:uiPriority w:val="9"/>
    <w:rsid w:val="00BA3CB0"/>
    <w:rPr>
      <w:b/>
      <w:bCs/>
      <w:color w:val="0092BB" w:themeColor="text2"/>
      <w:sz w:val="20"/>
    </w:rPr>
  </w:style>
  <w:style w:type="paragraph" w:customStyle="1" w:styleId="TableSource">
    <w:name w:val="Table Source"/>
    <w:aliases w:val="Tbl Src"/>
    <w:basedOn w:val="BodyText"/>
    <w:uiPriority w:val="17"/>
    <w:qFormat/>
    <w:rsid w:val="00B0568F"/>
    <w:rPr>
      <w:color w:val="0092BB" w:themeColor="text2"/>
      <w:sz w:val="16"/>
      <w:szCs w:val="16"/>
    </w:rPr>
  </w:style>
  <w:style w:type="paragraph" w:customStyle="1" w:styleId="TableTitle">
    <w:name w:val="Table Title"/>
    <w:aliases w:val="Tbl Ttl"/>
    <w:basedOn w:val="BodyText"/>
    <w:uiPriority w:val="13"/>
    <w:qFormat/>
    <w:rsid w:val="009303AF"/>
    <w:pPr>
      <w:spacing w:before="240"/>
    </w:pPr>
    <w:rPr>
      <w:b/>
      <w:bCs/>
      <w:color w:val="0092BB" w:themeColor="text2"/>
    </w:rPr>
  </w:style>
  <w:style w:type="paragraph" w:customStyle="1" w:styleId="TableFirstColumn">
    <w:name w:val="Table First Column"/>
    <w:aliases w:val="Tbl FC"/>
    <w:basedOn w:val="TableText"/>
    <w:uiPriority w:val="15"/>
    <w:qFormat/>
    <w:rsid w:val="00621A0C"/>
    <w:rPr>
      <w:bCs/>
      <w:color w:val="0092BB" w:themeColor="text2"/>
    </w:rPr>
  </w:style>
  <w:style w:type="paragraph" w:customStyle="1" w:styleId="DisclaimerText">
    <w:name w:val="Disclaimer Text"/>
    <w:basedOn w:val="BodyText"/>
    <w:uiPriority w:val="34"/>
    <w:rsid w:val="00DE298A"/>
    <w:pPr>
      <w:spacing w:line="240" w:lineRule="auto"/>
    </w:pPr>
    <w:rPr>
      <w:sz w:val="18"/>
    </w:rPr>
  </w:style>
  <w:style w:type="paragraph" w:styleId="TOCHeading">
    <w:name w:val="TOC Heading"/>
    <w:basedOn w:val="Heading1"/>
    <w:next w:val="Normal"/>
    <w:uiPriority w:val="39"/>
    <w:unhideWhenUsed/>
    <w:qFormat/>
    <w:rsid w:val="00F90EEF"/>
    <w:pPr>
      <w:keepNext/>
      <w:keepLines/>
      <w:spacing w:before="240" w:after="0"/>
      <w:outlineLvl w:val="9"/>
    </w:pPr>
    <w:rPr>
      <w:rFonts w:asciiTheme="majorHAnsi" w:eastAsiaTheme="majorEastAsia" w:hAnsiTheme="majorHAnsi" w:cstheme="majorBidi"/>
      <w:b w:val="0"/>
      <w:bCs w:val="0"/>
      <w:color w:val="0074A6" w:themeColor="accent1" w:themeShade="BF"/>
      <w:sz w:val="32"/>
      <w:szCs w:val="32"/>
      <w:lang w:val="en-US"/>
    </w:rPr>
  </w:style>
  <w:style w:type="paragraph" w:styleId="TOC1">
    <w:name w:val="toc 1"/>
    <w:basedOn w:val="Normal"/>
    <w:next w:val="Normal"/>
    <w:autoRedefine/>
    <w:uiPriority w:val="39"/>
    <w:unhideWhenUsed/>
    <w:qFormat/>
    <w:rsid w:val="00B80847"/>
    <w:pPr>
      <w:pBdr>
        <w:top w:val="single" w:sz="8" w:space="12" w:color="D6DCE4" w:themeColor="background2"/>
        <w:between w:val="single" w:sz="8" w:space="12" w:color="D6DCE4" w:themeColor="background2"/>
      </w:pBdr>
      <w:tabs>
        <w:tab w:val="right" w:pos="9060"/>
      </w:tabs>
      <w:spacing w:before="240" w:after="0"/>
      <w:contextualSpacing/>
    </w:pPr>
    <w:rPr>
      <w:caps/>
      <w:noProof/>
      <w:color w:val="0092BB" w:themeColor="text2"/>
    </w:rPr>
  </w:style>
  <w:style w:type="paragraph" w:styleId="TOC2">
    <w:name w:val="toc 2"/>
    <w:basedOn w:val="Normal"/>
    <w:next w:val="Normal"/>
    <w:autoRedefine/>
    <w:uiPriority w:val="39"/>
    <w:unhideWhenUsed/>
    <w:qFormat/>
    <w:rsid w:val="00644726"/>
    <w:pPr>
      <w:tabs>
        <w:tab w:val="right" w:pos="9060"/>
      </w:tabs>
      <w:spacing w:before="120" w:after="0"/>
    </w:pPr>
    <w:rPr>
      <w:noProof/>
      <w:color w:val="455560" w:themeColor="text1"/>
    </w:rPr>
  </w:style>
  <w:style w:type="paragraph" w:styleId="TOC3">
    <w:name w:val="toc 3"/>
    <w:basedOn w:val="Normal"/>
    <w:next w:val="Normal"/>
    <w:autoRedefine/>
    <w:uiPriority w:val="39"/>
    <w:unhideWhenUsed/>
    <w:qFormat/>
    <w:rsid w:val="00190124"/>
    <w:pPr>
      <w:tabs>
        <w:tab w:val="right" w:pos="9060"/>
      </w:tabs>
      <w:spacing w:before="120" w:after="120" w:line="240" w:lineRule="auto"/>
      <w:ind w:left="403"/>
      <w:contextualSpacing/>
    </w:pPr>
    <w:rPr>
      <w:noProof/>
      <w:color w:val="455560" w:themeColor="text1"/>
    </w:rPr>
  </w:style>
  <w:style w:type="character" w:styleId="Hyperlink">
    <w:name w:val="Hyperlink"/>
    <w:basedOn w:val="DefaultParagraphFont"/>
    <w:uiPriority w:val="99"/>
    <w:unhideWhenUsed/>
    <w:rsid w:val="00F90EEF"/>
    <w:rPr>
      <w:color w:val="0092BB" w:themeColor="hyperlink"/>
      <w:u w:val="single"/>
    </w:rPr>
  </w:style>
  <w:style w:type="character" w:customStyle="1" w:styleId="Heading5Char">
    <w:name w:val="Heading 5 Char"/>
    <w:basedOn w:val="DefaultParagraphFont"/>
    <w:link w:val="Heading5"/>
    <w:uiPriority w:val="9"/>
    <w:semiHidden/>
    <w:rsid w:val="00E1328E"/>
    <w:rPr>
      <w:rFonts w:ascii="Calibri" w:eastAsia="Calibri" w:hAnsi="Calibri" w:cs="Calibri"/>
      <w:b/>
      <w:lang w:eastAsia="en-GB"/>
    </w:rPr>
  </w:style>
  <w:style w:type="character" w:customStyle="1" w:styleId="Heading6Char">
    <w:name w:val="Heading 6 Char"/>
    <w:basedOn w:val="DefaultParagraphFont"/>
    <w:link w:val="Heading6"/>
    <w:uiPriority w:val="9"/>
    <w:semiHidden/>
    <w:rsid w:val="00E1328E"/>
    <w:rPr>
      <w:rFonts w:ascii="Calibri" w:eastAsia="Calibri" w:hAnsi="Calibri" w:cs="Calibri"/>
      <w:b/>
      <w:sz w:val="20"/>
      <w:szCs w:val="20"/>
      <w:lang w:eastAsia="en-GB"/>
    </w:rPr>
  </w:style>
  <w:style w:type="paragraph" w:styleId="ListParagraph">
    <w:name w:val="List Paragraph"/>
    <w:basedOn w:val="Normal"/>
    <w:uiPriority w:val="34"/>
    <w:qFormat/>
    <w:rsid w:val="00E1328E"/>
    <w:pPr>
      <w:ind w:left="720" w:firstLine="284"/>
      <w:contextualSpacing/>
      <w:jc w:val="both"/>
    </w:pPr>
    <w:rPr>
      <w:rFonts w:ascii="Calibri" w:eastAsia="Calibri" w:hAnsi="Calibri" w:cs="Calibri"/>
      <w:sz w:val="22"/>
      <w:lang w:eastAsia="en-GB"/>
    </w:rPr>
  </w:style>
  <w:style w:type="paragraph" w:styleId="FootnoteText">
    <w:name w:val="footnote text"/>
    <w:basedOn w:val="Normal"/>
    <w:link w:val="FootnoteTextChar"/>
    <w:autoRedefine/>
    <w:uiPriority w:val="99"/>
    <w:unhideWhenUsed/>
    <w:rsid w:val="00395BF4"/>
    <w:pPr>
      <w:spacing w:after="0" w:line="240" w:lineRule="auto"/>
      <w:ind w:firstLine="284"/>
      <w:jc w:val="both"/>
    </w:pPr>
    <w:rPr>
      <w:rFonts w:eastAsia="Calibri" w:cs="Calibri"/>
      <w:color w:val="455560" w:themeColor="text1"/>
      <w:sz w:val="16"/>
      <w:lang w:eastAsia="en-GB"/>
    </w:rPr>
  </w:style>
  <w:style w:type="character" w:customStyle="1" w:styleId="FootnoteTextChar">
    <w:name w:val="Footnote Text Char"/>
    <w:basedOn w:val="DefaultParagraphFont"/>
    <w:link w:val="FootnoteText"/>
    <w:uiPriority w:val="99"/>
    <w:rsid w:val="00395BF4"/>
    <w:rPr>
      <w:rFonts w:eastAsia="Calibri" w:cs="Calibri"/>
      <w:color w:val="455560" w:themeColor="text1"/>
      <w:sz w:val="16"/>
      <w:szCs w:val="20"/>
      <w:lang w:eastAsia="en-GB"/>
    </w:rPr>
  </w:style>
  <w:style w:type="character" w:styleId="FootnoteReference">
    <w:name w:val="footnote reference"/>
    <w:basedOn w:val="DefaultParagraphFont"/>
    <w:uiPriority w:val="99"/>
    <w:semiHidden/>
    <w:unhideWhenUsed/>
    <w:rsid w:val="00395BF4"/>
    <w:rPr>
      <w:rFonts w:asciiTheme="minorHAnsi" w:hAnsiTheme="minorHAnsi"/>
      <w:color w:val="455560" w:themeColor="text1"/>
      <w:vertAlign w:val="superscript"/>
    </w:rPr>
  </w:style>
  <w:style w:type="character" w:styleId="CommentReference">
    <w:name w:val="annotation reference"/>
    <w:basedOn w:val="DefaultParagraphFont"/>
    <w:uiPriority w:val="99"/>
    <w:semiHidden/>
    <w:unhideWhenUsed/>
    <w:rsid w:val="00E1328E"/>
    <w:rPr>
      <w:sz w:val="16"/>
      <w:szCs w:val="16"/>
    </w:rPr>
  </w:style>
  <w:style w:type="paragraph" w:styleId="CommentText">
    <w:name w:val="annotation text"/>
    <w:basedOn w:val="Normal"/>
    <w:link w:val="CommentTextChar"/>
    <w:uiPriority w:val="99"/>
    <w:unhideWhenUsed/>
    <w:rsid w:val="00E1328E"/>
    <w:pPr>
      <w:spacing w:line="240" w:lineRule="auto"/>
      <w:ind w:firstLine="284"/>
      <w:jc w:val="both"/>
    </w:pPr>
    <w:rPr>
      <w:rFonts w:ascii="Calibri" w:eastAsia="Calibri" w:hAnsi="Calibri" w:cs="Calibri"/>
      <w:lang w:eastAsia="en-GB"/>
    </w:rPr>
  </w:style>
  <w:style w:type="character" w:customStyle="1" w:styleId="CommentTextChar">
    <w:name w:val="Comment Text Char"/>
    <w:basedOn w:val="DefaultParagraphFont"/>
    <w:link w:val="CommentText"/>
    <w:uiPriority w:val="99"/>
    <w:rsid w:val="00E1328E"/>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E1328E"/>
    <w:rPr>
      <w:b/>
      <w:bCs/>
    </w:rPr>
  </w:style>
  <w:style w:type="character" w:customStyle="1" w:styleId="CommentSubjectChar">
    <w:name w:val="Comment Subject Char"/>
    <w:basedOn w:val="CommentTextChar"/>
    <w:link w:val="CommentSubject"/>
    <w:uiPriority w:val="99"/>
    <w:semiHidden/>
    <w:rsid w:val="00E1328E"/>
    <w:rPr>
      <w:rFonts w:ascii="Calibri" w:eastAsia="Calibri" w:hAnsi="Calibri" w:cs="Calibri"/>
      <w:b/>
      <w:bCs/>
      <w:sz w:val="20"/>
      <w:szCs w:val="20"/>
      <w:lang w:eastAsia="en-GB"/>
    </w:rPr>
  </w:style>
  <w:style w:type="paragraph" w:customStyle="1" w:styleId="FigureorTabletitle">
    <w:name w:val="Figure or Table title"/>
    <w:basedOn w:val="Normal"/>
    <w:autoRedefine/>
    <w:qFormat/>
    <w:rsid w:val="00E1328E"/>
    <w:pPr>
      <w:spacing w:before="240" w:after="0"/>
      <w:ind w:firstLine="284"/>
      <w:jc w:val="center"/>
    </w:pPr>
    <w:rPr>
      <w:rFonts w:ascii="Calibri" w:eastAsia="Calibri" w:hAnsi="Calibri" w:cs="Calibri"/>
      <w:b/>
      <w:bCs/>
      <w:sz w:val="22"/>
      <w:lang w:eastAsia="en-GB"/>
    </w:rPr>
  </w:style>
  <w:style w:type="character" w:styleId="UnresolvedMention">
    <w:name w:val="Unresolved Mention"/>
    <w:basedOn w:val="DefaultParagraphFont"/>
    <w:uiPriority w:val="99"/>
    <w:semiHidden/>
    <w:unhideWhenUsed/>
    <w:rsid w:val="00E1328E"/>
    <w:rPr>
      <w:color w:val="605E5C"/>
      <w:shd w:val="clear" w:color="auto" w:fill="E1DFDD"/>
    </w:rPr>
  </w:style>
  <w:style w:type="paragraph" w:styleId="TOC4">
    <w:name w:val="toc 4"/>
    <w:basedOn w:val="Normal"/>
    <w:next w:val="Normal"/>
    <w:autoRedefine/>
    <w:uiPriority w:val="39"/>
    <w:unhideWhenUsed/>
    <w:rsid w:val="00E1328E"/>
    <w:pPr>
      <w:spacing w:after="100"/>
      <w:ind w:left="660" w:firstLine="284"/>
      <w:jc w:val="both"/>
    </w:pPr>
    <w:rPr>
      <w:rFonts w:ascii="Calibri" w:eastAsia="Calibri" w:hAnsi="Calibri" w:cs="Calibri"/>
      <w:sz w:val="22"/>
      <w:lang w:eastAsia="en-GB"/>
    </w:rPr>
  </w:style>
  <w:style w:type="paragraph" w:styleId="Revision">
    <w:name w:val="Revision"/>
    <w:hidden/>
    <w:uiPriority w:val="99"/>
    <w:semiHidden/>
    <w:rsid w:val="00255796"/>
    <w:pPr>
      <w:spacing w:after="0" w:line="240" w:lineRule="auto"/>
    </w:pPr>
  </w:style>
  <w:style w:type="paragraph" w:customStyle="1" w:styleId="TableParagraph">
    <w:name w:val="Table Paragraph"/>
    <w:basedOn w:val="Normal"/>
    <w:uiPriority w:val="1"/>
    <w:qFormat/>
    <w:pPr>
      <w:widowControl w:val="0"/>
      <w:autoSpaceDE w:val="0"/>
      <w:autoSpaceDN w:val="0"/>
      <w:spacing w:after="0" w:line="240" w:lineRule="auto"/>
      <w:ind w:left="100"/>
    </w:pPr>
    <w:rPr>
      <w:sz w:val="22"/>
      <w:lang w:val="en-US"/>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0E61A5"/>
    <w:rPr>
      <w:color w:val="27257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it.ly/3XJg10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bit.ly/433OR8j"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4j6taZW"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bit.ly/43rhNpI" TargetMode="Externa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it.ly/3XGm9WY" TargetMode="Externa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bit.ly/47YGA6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TF (2021)">
      <a:dk1>
        <a:srgbClr val="455560"/>
      </a:dk1>
      <a:lt1>
        <a:srgbClr val="FFFFFF"/>
      </a:lt1>
      <a:dk2>
        <a:srgbClr val="0092BB"/>
      </a:dk2>
      <a:lt2>
        <a:srgbClr val="D6DCE4"/>
      </a:lt2>
      <a:accent1>
        <a:srgbClr val="009CDE"/>
      </a:accent1>
      <a:accent2>
        <a:srgbClr val="38B6AB"/>
      </a:accent2>
      <a:accent3>
        <a:srgbClr val="CBD300"/>
      </a:accent3>
      <a:accent4>
        <a:srgbClr val="FFDC00"/>
      </a:accent4>
      <a:accent5>
        <a:srgbClr val="E9473D"/>
      </a:accent5>
      <a:accent6>
        <a:srgbClr val="DC006B"/>
      </a:accent6>
      <a:hlink>
        <a:srgbClr val="0092BB"/>
      </a:hlink>
      <a:folHlink>
        <a:srgbClr val="27257A"/>
      </a:folHlink>
    </a:clrScheme>
    <a:fontScheme name="Rogue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hs4jE9cgmZnFKnlVleR2wtbCCw==">CgMxLjAyDmgudWQ3NmR4cTJhMzIzOAByITE0cUUxQ0J4NW9JUjBiaVFfZjkxbFB6a3lXQlJsY1JnaA==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45B698B556D0B4C9502A5ACF2AED6A9" ma:contentTypeVersion="18" ma:contentTypeDescription="Create a new document." ma:contentTypeScope="" ma:versionID="8590b3c788ede7feef7052c66794d77d">
  <xsd:schema xmlns:xsd="http://www.w3.org/2001/XMLSchema" xmlns:xs="http://www.w3.org/2001/XMLSchema" xmlns:p="http://schemas.microsoft.com/office/2006/metadata/properties" xmlns:ns2="834c7a77-a186-4b33-ad65-f5fdf95755b4" xmlns:ns3="b3144a11-e500-4ade-8fe4-7de3e8b2f8df" targetNamespace="http://schemas.microsoft.com/office/2006/metadata/properties" ma:root="true" ma:fieldsID="6bf2f15c26bd369991dba92f0dc593fa" ns2:_="" ns3:_="">
    <xsd:import namespace="834c7a77-a186-4b33-ad65-f5fdf95755b4"/>
    <xsd:import namespace="b3144a11-e500-4ade-8fe4-7de3e8b2f8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3:_dlc_DocId" minOccurs="0"/>
                <xsd:element ref="ns3:_dlc_DocIdUrl" minOccurs="0"/>
                <xsd:element ref="ns3:_dlc_DocIdPersistId"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c7a77-a186-4b33-ad65-f5fdf9575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0ffe1f-c839-4a66-9ae8-9a2945e4919f"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44a11-e500-4ade-8fe4-7de3e8b2f8d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8a6be991-1e69-477d-90d9-3bb8eefec4a0}" ma:internalName="TaxCatchAll" ma:showField="CatchAllData" ma:web="b3144a11-e500-4ade-8fe4-7de3e8b2f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34c7a77-a186-4b33-ad65-f5fdf95755b4">
      <Terms xmlns="http://schemas.microsoft.com/office/infopath/2007/PartnerControls"/>
    </lcf76f155ced4ddcb4097134ff3c332f>
    <TaxCatchAll xmlns="b3144a11-e500-4ade-8fe4-7de3e8b2f8df" xsi:nil="true"/>
    <_dlc_DocId xmlns="b3144a11-e500-4ade-8fe4-7de3e8b2f8df">DMSLLL-268358740-7125</_dlc_DocId>
    <_dlc_DocIdUrl xmlns="b3144a11-e500-4ade-8fe4-7de3e8b2f8df">
      <Url>https://europeantrainingfoundation.sharepoint.com/sites/Monitoring/_layouts/15/DocIdRedir.aspx?ID=DMSLLL-268358740-7125</Url>
      <Description>DMSLLL-268358740-7125</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D1841B-C5AF-4BD1-8AC8-6CA72EFFC76A}"/>
</file>

<file path=customXml/itemProps3.xml><?xml version="1.0" encoding="utf-8"?>
<ds:datastoreItem xmlns:ds="http://schemas.openxmlformats.org/officeDocument/2006/customXml" ds:itemID="{DCF79DA8-D93D-4A65-A81F-03298FB4D1EF}"/>
</file>

<file path=customXml/itemProps4.xml><?xml version="1.0" encoding="utf-8"?>
<ds:datastoreItem xmlns:ds="http://schemas.openxmlformats.org/officeDocument/2006/customXml" ds:itemID="{3F5F4CA4-11FE-4C5E-ACEC-509D85D1630A}"/>
</file>

<file path=customXml/itemProps5.xml><?xml version="1.0" encoding="utf-8"?>
<ds:datastoreItem xmlns:ds="http://schemas.openxmlformats.org/officeDocument/2006/customXml" ds:itemID="{83DB6B8E-D33D-442B-A981-6B4C174623A0}"/>
</file>

<file path=docProps/app.xml><?xml version="1.0" encoding="utf-8"?>
<Properties xmlns="http://schemas.openxmlformats.org/officeDocument/2006/extended-properties" xmlns:vt="http://schemas.openxmlformats.org/officeDocument/2006/docPropsVTypes">
  <Template>Normal</Template>
  <TotalTime>0</TotalTime>
  <Pages>17</Pages>
  <Words>6567</Words>
  <Characters>37437</Characters>
  <Application>Microsoft Office Word</Application>
  <DocSecurity>4</DocSecurity>
  <Lines>311</Lines>
  <Paragraphs>87</Paragraphs>
  <ScaleCrop>false</ScaleCrop>
  <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Reginhild Giunipero</dc:creator>
  <cp:lastModifiedBy>Chiara Margagliano (ETF)</cp:lastModifiedBy>
  <cp:revision>2</cp:revision>
  <dcterms:created xsi:type="dcterms:W3CDTF">2025-06-04T13:51:00Z</dcterms:created>
  <dcterms:modified xsi:type="dcterms:W3CDTF">2025-06-04T13:51:00Z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WizardRun">
    <vt:lpwstr>Yes</vt:lpwstr>
  </property>
  <property fmtid="{D5CDD505-2E9C-101B-9397-08002B2CF9AE}" pid="3" name="DocTitleColour">
    <vt:lpwstr>ETF blue</vt:lpwstr>
  </property>
  <property fmtid="{D5CDD505-2E9C-101B-9397-08002B2CF9AE}" pid="4" name="DocExampleContent">
    <vt:lpwstr>Yes</vt:lpwstr>
  </property>
  <property fmtid="{D5CDD505-2E9C-101B-9397-08002B2CF9AE}" pid="5" name="MediaServiceImageTags">
    <vt:lpwstr/>
  </property>
  <property fmtid="{D5CDD505-2E9C-101B-9397-08002B2CF9AE}" pid="6" name="ContentTypeId">
    <vt:lpwstr>0x010100C45B698B556D0B4C9502A5ACF2AED6A9</vt:lpwstr>
  </property>
  <property fmtid="{D5CDD505-2E9C-101B-9397-08002B2CF9AE}" pid="7" name="_dlc_DocIdItemGuid">
    <vt:lpwstr>56163916-e6be-4c97-bc1e-cd79fa4bf463</vt:lpwstr>
  </property>
  <property fmtid="{D5CDD505-2E9C-101B-9397-08002B2CF9AE}" pid="8" name="Created">
    <vt:filetime>2022-06-17T00:00:00Z</vt:filetime>
  </property>
  <property fmtid="{D5CDD505-2E9C-101B-9397-08002B2CF9AE}" pid="9" name="Creator">
    <vt:lpwstr>Microsoft® Word for Microsoft 365</vt:lpwstr>
  </property>
  <property fmtid="{D5CDD505-2E9C-101B-9397-08002B2CF9AE}" pid="10" name="LastSaved">
    <vt:filetime>2022-09-13T00:00:00Z</vt:filetime>
  </property>
  <property fmtid="{D5CDD505-2E9C-101B-9397-08002B2CF9AE}" pid="11" name="Producer">
    <vt:lpwstr>Microsoft® Word for Microsoft 365</vt:lpwstr>
  </property>
</Properties>
</file>