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EACC" w14:textId="33E8394C" w:rsidR="001239FE" w:rsidRPr="00A714C3" w:rsidRDefault="009B779A" w:rsidP="009B779A">
      <w:pPr>
        <w:pStyle w:val="Title"/>
        <w:spacing w:after="240"/>
        <w:rPr>
          <w:caps w:val="0"/>
        </w:rPr>
      </w:pPr>
      <w:r w:rsidRPr="00A714C3">
        <w:rPr>
          <w:caps w:val="0"/>
          <w:noProof/>
          <w:color w:val="auto"/>
          <w:sz w:val="18"/>
          <w:szCs w:val="18"/>
          <w:lang w:val="en-US"/>
        </w:rPr>
        <w:drawing>
          <wp:anchor distT="0" distB="0" distL="114300" distR="114300" simplePos="0" relativeHeight="251659264" behindDoc="1" locked="0" layoutInCell="1" allowOverlap="1" wp14:anchorId="13C4AAD4" wp14:editId="39167589">
            <wp:simplePos x="0" y="0"/>
            <wp:positionH relativeFrom="column">
              <wp:posOffset>3737610</wp:posOffset>
            </wp:positionH>
            <wp:positionV relativeFrom="paragraph">
              <wp:posOffset>2784475</wp:posOffset>
            </wp:positionV>
            <wp:extent cx="3228975" cy="322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F_QualityAssurancePlatformIdentity_CMY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28975" cy="3228975"/>
                    </a:xfrm>
                    <a:prstGeom prst="rect">
                      <a:avLst/>
                    </a:prstGeom>
                    <a:noFill/>
                  </pic:spPr>
                </pic:pic>
              </a:graphicData>
            </a:graphic>
            <wp14:sizeRelH relativeFrom="page">
              <wp14:pctWidth>0</wp14:pctWidth>
            </wp14:sizeRelH>
            <wp14:sizeRelV relativeFrom="page">
              <wp14:pctHeight>0</wp14:pctHeight>
            </wp14:sizeRelV>
          </wp:anchor>
        </w:drawing>
      </w:r>
      <w:r w:rsidRPr="00A714C3">
        <w:rPr>
          <w:caps w:val="0"/>
          <w:color w:val="616264" w:themeColor="text2"/>
          <w:sz w:val="18"/>
          <w:szCs w:val="18"/>
        </w:rPr>
        <w:t xml:space="preserve"> </w:t>
      </w:r>
      <w:sdt>
        <w:sdtPr>
          <w:rPr>
            <w:rFonts w:ascii="Arial Bold" w:hAnsi="Arial Bold"/>
            <w:caps w:val="0"/>
            <w:spacing w:val="-20"/>
            <w:sz w:val="72"/>
            <w:szCs w:val="72"/>
          </w:rPr>
          <w:tag w:val="Title"/>
          <w:id w:val="-1825495669"/>
          <w:lock w:val="sdtLocked"/>
          <w:placeholder>
            <w:docPart w:val="2CF618963093497E95986DB6EED7C796"/>
          </w:placeholder>
          <w:text/>
        </w:sdtPr>
        <w:sdtEndPr/>
        <w:sdtContent>
          <w:r w:rsidRPr="00A714C3">
            <w:rPr>
              <w:rFonts w:ascii="Arial Bold" w:hAnsi="Arial Bold"/>
              <w:caps w:val="0"/>
              <w:sz w:val="72"/>
              <w:szCs w:val="72"/>
            </w:rPr>
            <w:t>AZƏRBAYCANDA PEŞƏ TƏHSİLİ VƏ TƏLİMİNDƏ KEYFİYYƏT TƏMİNATI</w:t>
          </w:r>
        </w:sdtContent>
      </w:sdt>
    </w:p>
    <w:sdt>
      <w:sdtPr>
        <w:rPr>
          <w:rFonts w:cstheme="minorHAnsi"/>
          <w:b/>
          <w:color w:val="616264" w:themeColor="text2"/>
          <w:sz w:val="36"/>
        </w:rPr>
        <w:tag w:val="Subtitle"/>
        <w:id w:val="-1265682908"/>
        <w:placeholder>
          <w:docPart w:val="76002C7838144EA6830E5DA7CE1F20D2"/>
        </w:placeholder>
        <w:text w:multiLine="1"/>
      </w:sdtPr>
      <w:sdtEndPr/>
      <w:sdtContent>
        <w:p w14:paraId="168C5BE5" w14:textId="0C945CE0" w:rsidR="00416AC1" w:rsidRPr="00A714C3" w:rsidRDefault="00A74221" w:rsidP="001537EA">
          <w:pPr>
            <w:pStyle w:val="Subtitle"/>
            <w:rPr>
              <w:rFonts w:cstheme="minorHAnsi"/>
              <w:b/>
              <w:color w:val="616264" w:themeColor="text2"/>
              <w:sz w:val="36"/>
            </w:rPr>
          </w:pPr>
          <w:r w:rsidRPr="00A714C3">
            <w:rPr>
              <w:b/>
              <w:color w:val="616264" w:themeColor="text2"/>
              <w:sz w:val="36"/>
            </w:rPr>
            <w:t xml:space="preserve">ETF Forumuna üzv olan qurum: Təhsildə Keyfiyyət Təminatı Agentliyi </w:t>
          </w:r>
          <w:r w:rsidR="001710B8">
            <w:rPr>
              <w:b/>
              <w:color w:val="616264" w:themeColor="text2"/>
              <w:sz w:val="36"/>
            </w:rPr>
            <w:t>(Azərbaycan)</w:t>
          </w:r>
          <w:r w:rsidR="00EF2409">
            <w:rPr>
              <w:b/>
              <w:color w:val="616264" w:themeColor="text2"/>
              <w:sz w:val="36"/>
            </w:rPr>
            <w:t xml:space="preserve">             </w:t>
          </w:r>
          <w:r w:rsidRPr="00A714C3">
            <w:rPr>
              <w:b/>
              <w:color w:val="616264" w:themeColor="text2"/>
              <w:sz w:val="36"/>
            </w:rPr>
            <w:br/>
          </w:r>
        </w:p>
      </w:sdtContent>
    </w:sdt>
    <w:p w14:paraId="1868D9DF" w14:textId="7DEEA29A" w:rsidR="000D4433" w:rsidRPr="00A714C3" w:rsidRDefault="000D4433" w:rsidP="00671F86"/>
    <w:p w14:paraId="46E0E575" w14:textId="0B3788C3" w:rsidR="007A7152" w:rsidRPr="00A714C3" w:rsidRDefault="007A7152" w:rsidP="00671F86"/>
    <w:p w14:paraId="6C8665EC" w14:textId="3FA034DF" w:rsidR="007A7152" w:rsidRPr="00A714C3" w:rsidRDefault="00F66CA5" w:rsidP="00671F86">
      <w:r w:rsidRPr="00A714C3">
        <w:rPr>
          <w:b/>
          <w:sz w:val="36"/>
        </w:rPr>
        <w:t>May 2021-ci il</w:t>
      </w:r>
    </w:p>
    <w:p w14:paraId="23B3B4EA" w14:textId="600F80E0" w:rsidR="00671F86" w:rsidRPr="00A714C3" w:rsidRDefault="00671F86" w:rsidP="00671F86">
      <w:pPr>
        <w:sectPr w:rsidR="00671F86" w:rsidRPr="00A714C3" w:rsidSect="00671F86">
          <w:headerReference w:type="even" r:id="rId13"/>
          <w:headerReference w:type="default" r:id="rId14"/>
          <w:footerReference w:type="even" r:id="rId15"/>
          <w:footerReference w:type="default" r:id="rId16"/>
          <w:headerReference w:type="first" r:id="rId17"/>
          <w:footerReference w:type="first" r:id="rId18"/>
          <w:pgSz w:w="11906" w:h="16838" w:code="9"/>
          <w:pgMar w:top="1134" w:right="1021" w:bottom="1814" w:left="1134" w:header="709" w:footer="340" w:gutter="0"/>
          <w:cols w:space="708"/>
          <w:docGrid w:linePitch="360"/>
        </w:sectPr>
      </w:pPr>
    </w:p>
    <w:p w14:paraId="016CED3F" w14:textId="77777777" w:rsidR="00BF6C02" w:rsidRPr="00A714C3" w:rsidRDefault="00BF6C02" w:rsidP="00BF6C02">
      <w:pPr>
        <w:spacing w:line="276" w:lineRule="auto"/>
        <w:rPr>
          <w:color w:val="009CDA" w:themeColor="background2"/>
        </w:rPr>
      </w:pPr>
    </w:p>
    <w:p w14:paraId="4AD62C0E" w14:textId="77777777" w:rsidR="00BF6C02" w:rsidRPr="00A714C3" w:rsidRDefault="00BF6C02" w:rsidP="00BF6C02">
      <w:pPr>
        <w:spacing w:line="276" w:lineRule="auto"/>
        <w:rPr>
          <w:color w:val="009CDA" w:themeColor="background2"/>
        </w:rPr>
      </w:pPr>
    </w:p>
    <w:p w14:paraId="1564E856" w14:textId="77777777" w:rsidR="00BF6C02" w:rsidRPr="00A714C3" w:rsidRDefault="00BF6C02" w:rsidP="00BF6C02">
      <w:pPr>
        <w:spacing w:line="276" w:lineRule="auto"/>
        <w:rPr>
          <w:color w:val="009CDA" w:themeColor="background2"/>
        </w:rPr>
      </w:pPr>
    </w:p>
    <w:p w14:paraId="5B31E29D" w14:textId="77777777" w:rsidR="00BF6C02" w:rsidRPr="00A714C3" w:rsidRDefault="00BF6C02" w:rsidP="00BF6C02">
      <w:pPr>
        <w:spacing w:line="276" w:lineRule="auto"/>
        <w:rPr>
          <w:color w:val="009CDA" w:themeColor="background2"/>
        </w:rPr>
      </w:pPr>
    </w:p>
    <w:p w14:paraId="23CF83CB" w14:textId="77777777" w:rsidR="00BF6C02" w:rsidRPr="00A714C3" w:rsidRDefault="00BF6C02" w:rsidP="00BF6C02">
      <w:pPr>
        <w:spacing w:line="276" w:lineRule="auto"/>
        <w:rPr>
          <w:color w:val="009CDA" w:themeColor="background2"/>
        </w:rPr>
      </w:pPr>
    </w:p>
    <w:p w14:paraId="6AFFC5A8" w14:textId="77777777" w:rsidR="00BF6C02" w:rsidRPr="00A714C3" w:rsidRDefault="00BF6C02" w:rsidP="00BF6C02">
      <w:pPr>
        <w:spacing w:line="276" w:lineRule="auto"/>
        <w:rPr>
          <w:color w:val="009CDA" w:themeColor="background2"/>
        </w:rPr>
      </w:pPr>
    </w:p>
    <w:p w14:paraId="714E9FBC" w14:textId="77777777" w:rsidR="00BF6C02" w:rsidRPr="00A714C3" w:rsidRDefault="00BF6C02" w:rsidP="00BF6C02">
      <w:pPr>
        <w:spacing w:line="276" w:lineRule="auto"/>
        <w:rPr>
          <w:color w:val="009CDA" w:themeColor="background2"/>
        </w:rPr>
      </w:pPr>
    </w:p>
    <w:p w14:paraId="7052EA1A" w14:textId="77777777" w:rsidR="00BF6C02" w:rsidRPr="00A714C3" w:rsidRDefault="00BF6C02" w:rsidP="00BF6C02">
      <w:pPr>
        <w:spacing w:line="276" w:lineRule="auto"/>
        <w:rPr>
          <w:color w:val="009CDA" w:themeColor="background2"/>
        </w:rPr>
      </w:pPr>
    </w:p>
    <w:p w14:paraId="37EBDC8F" w14:textId="77777777" w:rsidR="00BF6C02" w:rsidRPr="00A714C3" w:rsidRDefault="00BF6C02" w:rsidP="00BF6C02">
      <w:pPr>
        <w:spacing w:line="276" w:lineRule="auto"/>
        <w:rPr>
          <w:color w:val="009CDA" w:themeColor="background2"/>
        </w:rPr>
      </w:pPr>
    </w:p>
    <w:p w14:paraId="6E793030" w14:textId="77777777" w:rsidR="00BF6C02" w:rsidRPr="00A714C3" w:rsidRDefault="00BF6C02" w:rsidP="00BF6C02">
      <w:pPr>
        <w:spacing w:line="276" w:lineRule="auto"/>
        <w:rPr>
          <w:color w:val="009CDA" w:themeColor="background2"/>
        </w:rPr>
      </w:pPr>
    </w:p>
    <w:p w14:paraId="3A3AA443" w14:textId="77777777" w:rsidR="00BF6C02" w:rsidRPr="00A714C3" w:rsidRDefault="00BF6C02" w:rsidP="00BF6C02">
      <w:pPr>
        <w:spacing w:line="276" w:lineRule="auto"/>
        <w:rPr>
          <w:color w:val="009CDA" w:themeColor="background2"/>
        </w:rPr>
      </w:pPr>
    </w:p>
    <w:p w14:paraId="76BC7DDF" w14:textId="77777777" w:rsidR="00BF6C02" w:rsidRPr="00A714C3" w:rsidRDefault="00BF6C02" w:rsidP="00BF6C02">
      <w:pPr>
        <w:spacing w:line="276" w:lineRule="auto"/>
        <w:rPr>
          <w:color w:val="009CDA" w:themeColor="background2"/>
        </w:rPr>
      </w:pPr>
    </w:p>
    <w:p w14:paraId="3835C48E" w14:textId="77777777" w:rsidR="00BF6C02" w:rsidRPr="00A714C3" w:rsidRDefault="00BF6C02" w:rsidP="00BF6C02">
      <w:pPr>
        <w:spacing w:line="276" w:lineRule="auto"/>
        <w:rPr>
          <w:color w:val="009CDA" w:themeColor="background2"/>
        </w:rPr>
      </w:pPr>
    </w:p>
    <w:p w14:paraId="01C24ED6" w14:textId="77777777" w:rsidR="00BF6C02" w:rsidRPr="00A714C3" w:rsidRDefault="00BF6C02" w:rsidP="00BF6C02">
      <w:pPr>
        <w:spacing w:line="276" w:lineRule="auto"/>
        <w:rPr>
          <w:color w:val="009CDA" w:themeColor="background2"/>
        </w:rPr>
      </w:pPr>
    </w:p>
    <w:p w14:paraId="165713A7" w14:textId="77777777" w:rsidR="00BF6C02" w:rsidRPr="00A714C3" w:rsidRDefault="00BF6C02" w:rsidP="00BF6C02">
      <w:pPr>
        <w:spacing w:line="276" w:lineRule="auto"/>
        <w:rPr>
          <w:color w:val="009CDA" w:themeColor="background2"/>
        </w:rPr>
      </w:pPr>
    </w:p>
    <w:p w14:paraId="2599B215" w14:textId="77777777" w:rsidR="00BF6C02" w:rsidRPr="00A714C3" w:rsidRDefault="00BF6C02" w:rsidP="00BF6C02">
      <w:pPr>
        <w:spacing w:line="276" w:lineRule="auto"/>
        <w:rPr>
          <w:color w:val="009CDA" w:themeColor="background2"/>
        </w:rPr>
      </w:pPr>
    </w:p>
    <w:p w14:paraId="145193E4" w14:textId="77777777" w:rsidR="00BF6C02" w:rsidRPr="00A714C3" w:rsidRDefault="00BF6C02" w:rsidP="00BF6C02">
      <w:pPr>
        <w:spacing w:line="276" w:lineRule="auto"/>
        <w:rPr>
          <w:color w:val="009CDA" w:themeColor="background2"/>
        </w:rPr>
      </w:pPr>
    </w:p>
    <w:p w14:paraId="18A35784" w14:textId="77777777" w:rsidR="00BF6C02" w:rsidRPr="00A714C3" w:rsidRDefault="00BF6C02" w:rsidP="00BF6C02">
      <w:pPr>
        <w:spacing w:line="276" w:lineRule="auto"/>
        <w:rPr>
          <w:color w:val="009CDA" w:themeColor="background2"/>
        </w:rPr>
      </w:pPr>
    </w:p>
    <w:p w14:paraId="4D611395" w14:textId="77777777" w:rsidR="00BF6C02" w:rsidRPr="00A714C3" w:rsidRDefault="00BF6C02" w:rsidP="00BF6C02">
      <w:pPr>
        <w:spacing w:line="276" w:lineRule="auto"/>
        <w:rPr>
          <w:color w:val="009CDA" w:themeColor="background2"/>
        </w:rPr>
      </w:pPr>
    </w:p>
    <w:p w14:paraId="2039108D" w14:textId="77777777" w:rsidR="00BF6C02" w:rsidRPr="00A714C3" w:rsidRDefault="00BF6C02" w:rsidP="00BF6C02">
      <w:pPr>
        <w:spacing w:line="276" w:lineRule="auto"/>
        <w:rPr>
          <w:color w:val="009CDA" w:themeColor="background2"/>
        </w:rPr>
      </w:pPr>
    </w:p>
    <w:p w14:paraId="483CA765" w14:textId="77777777" w:rsidR="00BF6C02" w:rsidRPr="00A714C3" w:rsidRDefault="00BF6C02" w:rsidP="00BF6C02">
      <w:pPr>
        <w:spacing w:line="276" w:lineRule="auto"/>
        <w:rPr>
          <w:color w:val="009CDA" w:themeColor="background2"/>
        </w:rPr>
      </w:pPr>
    </w:p>
    <w:p w14:paraId="59EEB40B" w14:textId="77777777" w:rsidR="00BF6C02" w:rsidRPr="00A714C3" w:rsidRDefault="00BF6C02" w:rsidP="00BF6C02">
      <w:pPr>
        <w:spacing w:line="276" w:lineRule="auto"/>
        <w:rPr>
          <w:color w:val="009CDA" w:themeColor="background2"/>
        </w:rPr>
      </w:pPr>
    </w:p>
    <w:p w14:paraId="357DE87B" w14:textId="77777777" w:rsidR="00BF6C02" w:rsidRPr="00A714C3" w:rsidRDefault="00BF6C02" w:rsidP="00BF6C02">
      <w:pPr>
        <w:spacing w:line="276" w:lineRule="auto"/>
        <w:rPr>
          <w:color w:val="009CDA" w:themeColor="background2"/>
        </w:rPr>
      </w:pPr>
    </w:p>
    <w:p w14:paraId="3A4C9266" w14:textId="77777777" w:rsidR="00BF6C02" w:rsidRPr="00A714C3" w:rsidRDefault="00BF6C02" w:rsidP="00BF6C02">
      <w:pPr>
        <w:spacing w:line="276" w:lineRule="auto"/>
        <w:rPr>
          <w:color w:val="009CDA" w:themeColor="background2"/>
        </w:rPr>
      </w:pPr>
    </w:p>
    <w:p w14:paraId="2699131F" w14:textId="77777777" w:rsidR="00BF6C02" w:rsidRPr="00A714C3" w:rsidRDefault="00BF6C02" w:rsidP="00BF6C02">
      <w:pPr>
        <w:spacing w:line="276" w:lineRule="auto"/>
        <w:rPr>
          <w:color w:val="009CDA" w:themeColor="background2"/>
        </w:rPr>
      </w:pPr>
    </w:p>
    <w:p w14:paraId="597F4B5A" w14:textId="21E5A6C9" w:rsidR="00BF6C02" w:rsidRPr="00A714C3" w:rsidRDefault="00B47C6C" w:rsidP="00BF6C02">
      <w:pPr>
        <w:pStyle w:val="BodyText"/>
        <w:rPr>
          <w:color w:val="009CDA" w:themeColor="background2"/>
          <w:sz w:val="18"/>
          <w:szCs w:val="18"/>
        </w:rPr>
      </w:pPr>
      <w:r w:rsidRPr="00A714C3">
        <w:rPr>
          <w:color w:val="009CDA" w:themeColor="background2"/>
          <w:sz w:val="18"/>
          <w:szCs w:val="18"/>
        </w:rPr>
        <w:t>Nəşrin məzmununa görə yalnız ETF məsuliyyət daşıyır və məzmun Aİ qurumlarının mövqeyi</w:t>
      </w:r>
      <w:r w:rsidR="00CA371D">
        <w:rPr>
          <w:color w:val="009CDA" w:themeColor="background2"/>
          <w:sz w:val="18"/>
          <w:szCs w:val="18"/>
        </w:rPr>
        <w:t>ni əks etdirməyə bilər.</w:t>
      </w:r>
      <w:r w:rsidRPr="00A714C3">
        <w:rPr>
          <w:color w:val="009CDA" w:themeColor="background2"/>
          <w:sz w:val="18"/>
          <w:szCs w:val="18"/>
        </w:rPr>
        <w:t xml:space="preserve"> </w:t>
      </w:r>
      <w:r w:rsidR="000F4F83">
        <w:rPr>
          <w:color w:val="009CDA" w:themeColor="background2"/>
          <w:sz w:val="18"/>
          <w:szCs w:val="18"/>
        </w:rPr>
        <w:t xml:space="preserve"> </w:t>
      </w:r>
    </w:p>
    <w:p w14:paraId="037A934A" w14:textId="275FAD7D" w:rsidR="00BF6C02" w:rsidRPr="00A714C3" w:rsidRDefault="00177B7D" w:rsidP="00BF6C02">
      <w:pPr>
        <w:pStyle w:val="BodyText"/>
        <w:spacing w:after="40"/>
        <w:rPr>
          <w:color w:val="009CDA" w:themeColor="background2"/>
          <w:sz w:val="18"/>
          <w:szCs w:val="18"/>
        </w:rPr>
      </w:pPr>
      <w:r w:rsidRPr="00A714C3">
        <w:rPr>
          <w:color w:val="009CDA" w:themeColor="background2"/>
          <w:sz w:val="18"/>
          <w:szCs w:val="18"/>
        </w:rPr>
        <w:t>© European Training Foundation, 2021</w:t>
      </w:r>
    </w:p>
    <w:p w14:paraId="10713E53" w14:textId="7B292DAC" w:rsidR="00BF6C02" w:rsidRPr="00A714C3" w:rsidRDefault="00177B7D" w:rsidP="001E5DD0">
      <w:pPr>
        <w:pStyle w:val="BodyText"/>
        <w:spacing w:after="0"/>
        <w:rPr>
          <w:color w:val="009CDA" w:themeColor="background2"/>
          <w:sz w:val="18"/>
          <w:szCs w:val="18"/>
        </w:rPr>
      </w:pPr>
      <w:r w:rsidRPr="00A714C3">
        <w:rPr>
          <w:color w:val="009CDA" w:themeColor="background2"/>
          <w:sz w:val="18"/>
          <w:szCs w:val="18"/>
        </w:rPr>
        <w:t>Mənbənin göstərilməsi şərtilə çoxaldıla bilər.</w:t>
      </w:r>
    </w:p>
    <w:p w14:paraId="252E92FB" w14:textId="77777777" w:rsidR="00BF6C02" w:rsidRPr="00A714C3" w:rsidRDefault="00BF6C02">
      <w:pPr>
        <w:spacing w:line="276" w:lineRule="auto"/>
        <w:rPr>
          <w:b/>
          <w:bCs/>
          <w:caps/>
        </w:rPr>
      </w:pPr>
      <w:r w:rsidRPr="00A714C3">
        <w:br w:type="page"/>
      </w:r>
    </w:p>
    <w:p w14:paraId="248B2EAC" w14:textId="77777777" w:rsidR="00A714C3" w:rsidRDefault="009C4A05" w:rsidP="00D81E7F">
      <w:pPr>
        <w:pStyle w:val="Heading1"/>
        <w:tabs>
          <w:tab w:val="left" w:pos="660"/>
          <w:tab w:val="right" w:pos="9091"/>
        </w:tabs>
        <w:rPr>
          <w:noProof/>
        </w:rPr>
      </w:pPr>
      <w:bookmarkStart w:id="0" w:name="_Toc46577368"/>
      <w:bookmarkStart w:id="1" w:name="_Toc90370732"/>
      <w:r w:rsidRPr="00A714C3">
        <w:rPr>
          <w:sz w:val="60"/>
          <w:szCs w:val="60"/>
        </w:rPr>
        <w:lastRenderedPageBreak/>
        <w:t>Mündəricat</w:t>
      </w:r>
      <w:bookmarkEnd w:id="0"/>
      <w:bookmarkEnd w:id="1"/>
      <w:r w:rsidR="00D233A3" w:rsidRPr="00A714C3">
        <w:rPr>
          <w:sz w:val="60"/>
          <w:szCs w:val="60"/>
        </w:rPr>
        <w:fldChar w:fldCharType="begin"/>
      </w:r>
      <w:r w:rsidR="00D233A3" w:rsidRPr="00A714C3">
        <w:rPr>
          <w:sz w:val="60"/>
          <w:szCs w:val="60"/>
        </w:rPr>
        <w:instrText xml:space="preserve"> TOC \o "1-2" \h \z \u </w:instrText>
      </w:r>
      <w:r w:rsidR="00D233A3" w:rsidRPr="00A714C3">
        <w:rPr>
          <w:sz w:val="60"/>
          <w:szCs w:val="60"/>
        </w:rPr>
        <w:fldChar w:fldCharType="separate"/>
      </w:r>
    </w:p>
    <w:p w14:paraId="0A8A3150" w14:textId="7EC4F603" w:rsidR="00A714C3" w:rsidRDefault="00DB583D">
      <w:pPr>
        <w:pStyle w:val="TOC1"/>
        <w:rPr>
          <w:rFonts w:asciiTheme="minorHAnsi" w:eastAsiaTheme="minorEastAsia" w:hAnsiTheme="minorHAnsi" w:cstheme="minorBidi"/>
          <w:caps w:val="0"/>
          <w:noProof/>
          <w:color w:val="auto"/>
          <w:sz w:val="22"/>
          <w:szCs w:val="22"/>
          <w:lang w:val="fr-LU" w:eastAsia="fr-LU"/>
        </w:rPr>
      </w:pPr>
      <w:hyperlink w:anchor="_Toc90370732" w:history="1">
        <w:r w:rsidR="00A714C3" w:rsidRPr="00252D0D">
          <w:rPr>
            <w:rStyle w:val="Hyperlink"/>
            <w:noProof/>
          </w:rPr>
          <w:t>Mündəricat</w:t>
        </w:r>
        <w:r w:rsidR="00A714C3">
          <w:rPr>
            <w:noProof/>
            <w:webHidden/>
          </w:rPr>
          <w:tab/>
        </w:r>
        <w:r w:rsidR="00A714C3">
          <w:rPr>
            <w:noProof/>
            <w:webHidden/>
          </w:rPr>
          <w:fldChar w:fldCharType="begin"/>
        </w:r>
        <w:r w:rsidR="00A714C3">
          <w:rPr>
            <w:noProof/>
            <w:webHidden/>
          </w:rPr>
          <w:instrText xml:space="preserve"> PAGEREF _Toc90370732 \h </w:instrText>
        </w:r>
        <w:r w:rsidR="00A714C3">
          <w:rPr>
            <w:noProof/>
            <w:webHidden/>
          </w:rPr>
        </w:r>
        <w:r w:rsidR="00A714C3">
          <w:rPr>
            <w:noProof/>
            <w:webHidden/>
          </w:rPr>
          <w:fldChar w:fldCharType="separate"/>
        </w:r>
        <w:r w:rsidR="00A94867">
          <w:rPr>
            <w:noProof/>
            <w:webHidden/>
          </w:rPr>
          <w:t>3</w:t>
        </w:r>
        <w:r w:rsidR="00A714C3">
          <w:rPr>
            <w:noProof/>
            <w:webHidden/>
          </w:rPr>
          <w:fldChar w:fldCharType="end"/>
        </w:r>
      </w:hyperlink>
    </w:p>
    <w:p w14:paraId="72927FB5" w14:textId="2D5EF426" w:rsidR="00A714C3" w:rsidRDefault="00DB583D">
      <w:pPr>
        <w:pStyle w:val="TOC1"/>
        <w:rPr>
          <w:rFonts w:asciiTheme="minorHAnsi" w:eastAsiaTheme="minorEastAsia" w:hAnsiTheme="minorHAnsi" w:cstheme="minorBidi"/>
          <w:caps w:val="0"/>
          <w:noProof/>
          <w:color w:val="auto"/>
          <w:sz w:val="22"/>
          <w:szCs w:val="22"/>
          <w:lang w:val="fr-LU" w:eastAsia="fr-LU"/>
        </w:rPr>
      </w:pPr>
      <w:hyperlink w:anchor="_Toc90370733" w:history="1">
        <w:r w:rsidR="00A714C3" w:rsidRPr="00252D0D">
          <w:rPr>
            <w:rStyle w:val="Hyperlink"/>
            <w:noProof/>
          </w:rPr>
          <w:t>1.</w:t>
        </w:r>
        <w:r w:rsidR="00A714C3">
          <w:rPr>
            <w:rFonts w:asciiTheme="minorHAnsi" w:eastAsiaTheme="minorEastAsia" w:hAnsiTheme="minorHAnsi" w:cstheme="minorBidi"/>
            <w:caps w:val="0"/>
            <w:noProof/>
            <w:color w:val="auto"/>
            <w:sz w:val="22"/>
            <w:szCs w:val="22"/>
            <w:lang w:val="fr-LU" w:eastAsia="fr-LU"/>
          </w:rPr>
          <w:tab/>
        </w:r>
        <w:r w:rsidR="00A714C3" w:rsidRPr="00252D0D">
          <w:rPr>
            <w:rStyle w:val="Hyperlink"/>
            <w:noProof/>
          </w:rPr>
          <w:t>GİRİŞ</w:t>
        </w:r>
        <w:r w:rsidR="00A714C3">
          <w:rPr>
            <w:noProof/>
            <w:webHidden/>
          </w:rPr>
          <w:tab/>
        </w:r>
        <w:r w:rsidR="00A714C3">
          <w:rPr>
            <w:noProof/>
            <w:webHidden/>
          </w:rPr>
          <w:fldChar w:fldCharType="begin"/>
        </w:r>
        <w:r w:rsidR="00A714C3">
          <w:rPr>
            <w:noProof/>
            <w:webHidden/>
          </w:rPr>
          <w:instrText xml:space="preserve"> PAGEREF _Toc90370733 \h </w:instrText>
        </w:r>
        <w:r w:rsidR="00A714C3">
          <w:rPr>
            <w:noProof/>
            <w:webHidden/>
          </w:rPr>
        </w:r>
        <w:r w:rsidR="00A714C3">
          <w:rPr>
            <w:noProof/>
            <w:webHidden/>
          </w:rPr>
          <w:fldChar w:fldCharType="separate"/>
        </w:r>
        <w:r w:rsidR="00A94867">
          <w:rPr>
            <w:noProof/>
            <w:webHidden/>
          </w:rPr>
          <w:t>4</w:t>
        </w:r>
        <w:r w:rsidR="00A714C3">
          <w:rPr>
            <w:noProof/>
            <w:webHidden/>
          </w:rPr>
          <w:fldChar w:fldCharType="end"/>
        </w:r>
      </w:hyperlink>
    </w:p>
    <w:p w14:paraId="793A450D" w14:textId="0A9DF754" w:rsidR="00A714C3" w:rsidRDefault="00DB583D">
      <w:pPr>
        <w:pStyle w:val="TOC2"/>
        <w:tabs>
          <w:tab w:val="left" w:pos="630"/>
        </w:tabs>
        <w:rPr>
          <w:rFonts w:asciiTheme="minorHAnsi" w:eastAsiaTheme="minorEastAsia" w:hAnsiTheme="minorHAnsi" w:cstheme="minorBidi"/>
          <w:noProof/>
          <w:color w:val="auto"/>
          <w:sz w:val="22"/>
          <w:szCs w:val="22"/>
          <w:lang w:val="fr-LU" w:eastAsia="fr-LU"/>
        </w:rPr>
      </w:pPr>
      <w:hyperlink w:anchor="_Toc90370734" w:history="1">
        <w:r w:rsidR="00A714C3" w:rsidRPr="00252D0D">
          <w:rPr>
            <w:rStyle w:val="Hyperlink"/>
            <w:noProof/>
          </w:rPr>
          <w:t>1.1.</w:t>
        </w:r>
        <w:r w:rsidR="00A714C3">
          <w:rPr>
            <w:rFonts w:asciiTheme="minorHAnsi" w:eastAsiaTheme="minorEastAsia" w:hAnsiTheme="minorHAnsi" w:cstheme="minorBidi"/>
            <w:noProof/>
            <w:color w:val="auto"/>
            <w:sz w:val="22"/>
            <w:szCs w:val="22"/>
            <w:lang w:val="fr-LU" w:eastAsia="fr-LU"/>
          </w:rPr>
          <w:tab/>
        </w:r>
        <w:r w:rsidR="00A714C3" w:rsidRPr="00252D0D">
          <w:rPr>
            <w:rStyle w:val="Hyperlink"/>
            <w:noProof/>
          </w:rPr>
          <w:t>Ölkə haqqında məlumat</w:t>
        </w:r>
        <w:r w:rsidR="00A714C3">
          <w:rPr>
            <w:noProof/>
            <w:webHidden/>
          </w:rPr>
          <w:tab/>
        </w:r>
        <w:r w:rsidR="00A714C3">
          <w:rPr>
            <w:noProof/>
            <w:webHidden/>
          </w:rPr>
          <w:fldChar w:fldCharType="begin"/>
        </w:r>
        <w:r w:rsidR="00A714C3">
          <w:rPr>
            <w:noProof/>
            <w:webHidden/>
          </w:rPr>
          <w:instrText xml:space="preserve"> PAGEREF _Toc90370734 \h </w:instrText>
        </w:r>
        <w:r w:rsidR="00A714C3">
          <w:rPr>
            <w:noProof/>
            <w:webHidden/>
          </w:rPr>
        </w:r>
        <w:r w:rsidR="00A714C3">
          <w:rPr>
            <w:noProof/>
            <w:webHidden/>
          </w:rPr>
          <w:fldChar w:fldCharType="separate"/>
        </w:r>
        <w:r w:rsidR="00A94867">
          <w:rPr>
            <w:noProof/>
            <w:webHidden/>
          </w:rPr>
          <w:t>4</w:t>
        </w:r>
        <w:r w:rsidR="00A714C3">
          <w:rPr>
            <w:noProof/>
            <w:webHidden/>
          </w:rPr>
          <w:fldChar w:fldCharType="end"/>
        </w:r>
      </w:hyperlink>
    </w:p>
    <w:p w14:paraId="4B77FF21" w14:textId="42E3CFB0" w:rsidR="00A714C3" w:rsidRDefault="00DB583D">
      <w:pPr>
        <w:pStyle w:val="TOC2"/>
        <w:tabs>
          <w:tab w:val="left" w:pos="630"/>
        </w:tabs>
        <w:rPr>
          <w:rFonts w:asciiTheme="minorHAnsi" w:eastAsiaTheme="minorEastAsia" w:hAnsiTheme="minorHAnsi" w:cstheme="minorBidi"/>
          <w:noProof/>
          <w:color w:val="auto"/>
          <w:sz w:val="22"/>
          <w:szCs w:val="22"/>
          <w:lang w:val="fr-LU" w:eastAsia="fr-LU"/>
        </w:rPr>
      </w:pPr>
      <w:hyperlink w:anchor="_Toc90370735" w:history="1">
        <w:r w:rsidR="00A714C3" w:rsidRPr="00252D0D">
          <w:rPr>
            <w:rStyle w:val="Hyperlink"/>
            <w:noProof/>
          </w:rPr>
          <w:t>1.2.</w:t>
        </w:r>
        <w:r w:rsidR="00A714C3">
          <w:rPr>
            <w:rFonts w:asciiTheme="minorHAnsi" w:eastAsiaTheme="minorEastAsia" w:hAnsiTheme="minorHAnsi" w:cstheme="minorBidi"/>
            <w:noProof/>
            <w:color w:val="auto"/>
            <w:sz w:val="22"/>
            <w:szCs w:val="22"/>
            <w:lang w:val="fr-LU" w:eastAsia="fr-LU"/>
          </w:rPr>
          <w:tab/>
        </w:r>
        <w:r w:rsidR="00A714C3" w:rsidRPr="00252D0D">
          <w:rPr>
            <w:rStyle w:val="Hyperlink"/>
            <w:noProof/>
          </w:rPr>
          <w:t>Statistika</w:t>
        </w:r>
        <w:r w:rsidR="00A714C3">
          <w:rPr>
            <w:noProof/>
            <w:webHidden/>
          </w:rPr>
          <w:tab/>
        </w:r>
        <w:r w:rsidR="00A714C3">
          <w:rPr>
            <w:noProof/>
            <w:webHidden/>
          </w:rPr>
          <w:fldChar w:fldCharType="begin"/>
        </w:r>
        <w:r w:rsidR="00A714C3">
          <w:rPr>
            <w:noProof/>
            <w:webHidden/>
          </w:rPr>
          <w:instrText xml:space="preserve"> PAGEREF _Toc90370735 \h </w:instrText>
        </w:r>
        <w:r w:rsidR="00A714C3">
          <w:rPr>
            <w:noProof/>
            <w:webHidden/>
          </w:rPr>
        </w:r>
        <w:r w:rsidR="00A714C3">
          <w:rPr>
            <w:noProof/>
            <w:webHidden/>
          </w:rPr>
          <w:fldChar w:fldCharType="separate"/>
        </w:r>
        <w:r w:rsidR="00A94867">
          <w:rPr>
            <w:noProof/>
            <w:webHidden/>
          </w:rPr>
          <w:t>4</w:t>
        </w:r>
        <w:r w:rsidR="00A714C3">
          <w:rPr>
            <w:noProof/>
            <w:webHidden/>
          </w:rPr>
          <w:fldChar w:fldCharType="end"/>
        </w:r>
      </w:hyperlink>
    </w:p>
    <w:p w14:paraId="5583751F" w14:textId="21FCB3D9" w:rsidR="00A714C3" w:rsidRDefault="00DB583D">
      <w:pPr>
        <w:pStyle w:val="TOC2"/>
        <w:tabs>
          <w:tab w:val="left" w:pos="630"/>
        </w:tabs>
        <w:rPr>
          <w:rFonts w:asciiTheme="minorHAnsi" w:eastAsiaTheme="minorEastAsia" w:hAnsiTheme="minorHAnsi" w:cstheme="minorBidi"/>
          <w:noProof/>
          <w:color w:val="auto"/>
          <w:sz w:val="22"/>
          <w:szCs w:val="22"/>
          <w:lang w:val="fr-LU" w:eastAsia="fr-LU"/>
        </w:rPr>
      </w:pPr>
      <w:hyperlink w:anchor="_Toc90370736" w:history="1">
        <w:r w:rsidR="00A714C3" w:rsidRPr="00252D0D">
          <w:rPr>
            <w:rStyle w:val="Hyperlink"/>
            <w:noProof/>
          </w:rPr>
          <w:t>1.3.</w:t>
        </w:r>
        <w:r w:rsidR="00A714C3">
          <w:rPr>
            <w:rFonts w:asciiTheme="minorHAnsi" w:eastAsiaTheme="minorEastAsia" w:hAnsiTheme="minorHAnsi" w:cstheme="minorBidi"/>
            <w:noProof/>
            <w:color w:val="auto"/>
            <w:sz w:val="22"/>
            <w:szCs w:val="22"/>
            <w:lang w:val="fr-LU" w:eastAsia="fr-LU"/>
          </w:rPr>
          <w:tab/>
        </w:r>
        <w:r w:rsidR="00A714C3" w:rsidRPr="00252D0D">
          <w:rPr>
            <w:rStyle w:val="Hyperlink"/>
            <w:noProof/>
          </w:rPr>
          <w:t>Peşə təhsili və təlimi (PTT) sistemi</w:t>
        </w:r>
        <w:r w:rsidR="00A714C3">
          <w:rPr>
            <w:noProof/>
            <w:webHidden/>
          </w:rPr>
          <w:tab/>
        </w:r>
        <w:r w:rsidR="00A714C3">
          <w:rPr>
            <w:noProof/>
            <w:webHidden/>
          </w:rPr>
          <w:fldChar w:fldCharType="begin"/>
        </w:r>
        <w:r w:rsidR="00A714C3">
          <w:rPr>
            <w:noProof/>
            <w:webHidden/>
          </w:rPr>
          <w:instrText xml:space="preserve"> PAGEREF _Toc90370736 \h </w:instrText>
        </w:r>
        <w:r w:rsidR="00A714C3">
          <w:rPr>
            <w:noProof/>
            <w:webHidden/>
          </w:rPr>
        </w:r>
        <w:r w:rsidR="00A714C3">
          <w:rPr>
            <w:noProof/>
            <w:webHidden/>
          </w:rPr>
          <w:fldChar w:fldCharType="separate"/>
        </w:r>
        <w:r w:rsidR="00A94867">
          <w:rPr>
            <w:noProof/>
            <w:webHidden/>
          </w:rPr>
          <w:t>5</w:t>
        </w:r>
        <w:r w:rsidR="00A714C3">
          <w:rPr>
            <w:noProof/>
            <w:webHidden/>
          </w:rPr>
          <w:fldChar w:fldCharType="end"/>
        </w:r>
      </w:hyperlink>
    </w:p>
    <w:p w14:paraId="2F3101D3" w14:textId="7DC03C81" w:rsidR="00A714C3" w:rsidRDefault="00DB583D">
      <w:pPr>
        <w:pStyle w:val="TOC1"/>
        <w:rPr>
          <w:rFonts w:asciiTheme="minorHAnsi" w:eastAsiaTheme="minorEastAsia" w:hAnsiTheme="minorHAnsi" w:cstheme="minorBidi"/>
          <w:caps w:val="0"/>
          <w:noProof/>
          <w:color w:val="auto"/>
          <w:sz w:val="22"/>
          <w:szCs w:val="22"/>
          <w:lang w:val="fr-LU" w:eastAsia="fr-LU"/>
        </w:rPr>
      </w:pPr>
      <w:hyperlink w:anchor="_Toc90370737" w:history="1">
        <w:r w:rsidR="00A714C3" w:rsidRPr="00252D0D">
          <w:rPr>
            <w:rStyle w:val="Hyperlink"/>
            <w:noProof/>
          </w:rPr>
          <w:t>2.</w:t>
        </w:r>
        <w:r w:rsidR="00A714C3">
          <w:rPr>
            <w:rFonts w:asciiTheme="minorHAnsi" w:eastAsiaTheme="minorEastAsia" w:hAnsiTheme="minorHAnsi" w:cstheme="minorBidi"/>
            <w:caps w:val="0"/>
            <w:noProof/>
            <w:color w:val="auto"/>
            <w:sz w:val="22"/>
            <w:szCs w:val="22"/>
            <w:lang w:val="fr-LU" w:eastAsia="fr-LU"/>
          </w:rPr>
          <w:tab/>
        </w:r>
        <w:r w:rsidR="00A714C3" w:rsidRPr="00252D0D">
          <w:rPr>
            <w:rStyle w:val="Hyperlink"/>
            <w:noProof/>
          </w:rPr>
          <w:t>PEŞƏ TƏHSİLİ VƏ TƏLİMİNDƏ KEYFİYYƏT TƏMİNATI</w:t>
        </w:r>
        <w:r w:rsidR="00A714C3">
          <w:rPr>
            <w:noProof/>
            <w:webHidden/>
          </w:rPr>
          <w:tab/>
        </w:r>
        <w:r w:rsidR="00A714C3">
          <w:rPr>
            <w:noProof/>
            <w:webHidden/>
          </w:rPr>
          <w:fldChar w:fldCharType="begin"/>
        </w:r>
        <w:r w:rsidR="00A714C3">
          <w:rPr>
            <w:noProof/>
            <w:webHidden/>
          </w:rPr>
          <w:instrText xml:space="preserve"> PAGEREF _Toc90370737 \h </w:instrText>
        </w:r>
        <w:r w:rsidR="00A714C3">
          <w:rPr>
            <w:noProof/>
            <w:webHidden/>
          </w:rPr>
        </w:r>
        <w:r w:rsidR="00A714C3">
          <w:rPr>
            <w:noProof/>
            <w:webHidden/>
          </w:rPr>
          <w:fldChar w:fldCharType="separate"/>
        </w:r>
        <w:r w:rsidR="00A94867">
          <w:rPr>
            <w:noProof/>
            <w:webHidden/>
          </w:rPr>
          <w:t>7</w:t>
        </w:r>
        <w:r w:rsidR="00A714C3">
          <w:rPr>
            <w:noProof/>
            <w:webHidden/>
          </w:rPr>
          <w:fldChar w:fldCharType="end"/>
        </w:r>
      </w:hyperlink>
    </w:p>
    <w:p w14:paraId="061FD426" w14:textId="4DCC982C" w:rsidR="00A714C3" w:rsidRDefault="00DB583D">
      <w:pPr>
        <w:pStyle w:val="TOC2"/>
        <w:tabs>
          <w:tab w:val="left" w:pos="630"/>
        </w:tabs>
        <w:rPr>
          <w:rFonts w:asciiTheme="minorHAnsi" w:eastAsiaTheme="minorEastAsia" w:hAnsiTheme="minorHAnsi" w:cstheme="minorBidi"/>
          <w:noProof/>
          <w:color w:val="auto"/>
          <w:sz w:val="22"/>
          <w:szCs w:val="22"/>
          <w:lang w:val="fr-LU" w:eastAsia="fr-LU"/>
        </w:rPr>
      </w:pPr>
      <w:hyperlink w:anchor="_Toc90370738" w:history="1">
        <w:r w:rsidR="00A714C3" w:rsidRPr="00252D0D">
          <w:rPr>
            <w:rStyle w:val="Hyperlink"/>
            <w:noProof/>
          </w:rPr>
          <w:t>2.1.</w:t>
        </w:r>
        <w:r w:rsidR="00A714C3">
          <w:rPr>
            <w:rFonts w:asciiTheme="minorHAnsi" w:eastAsiaTheme="minorEastAsia" w:hAnsiTheme="minorHAnsi" w:cstheme="minorBidi"/>
            <w:noProof/>
            <w:color w:val="auto"/>
            <w:sz w:val="22"/>
            <w:szCs w:val="22"/>
            <w:lang w:val="fr-LU" w:eastAsia="fr-LU"/>
          </w:rPr>
          <w:tab/>
        </w:r>
        <w:r w:rsidR="00A714C3" w:rsidRPr="00252D0D">
          <w:rPr>
            <w:rStyle w:val="Hyperlink"/>
            <w:noProof/>
          </w:rPr>
          <w:t>Xülasə</w:t>
        </w:r>
        <w:r w:rsidR="00A714C3">
          <w:rPr>
            <w:noProof/>
            <w:webHidden/>
          </w:rPr>
          <w:tab/>
        </w:r>
        <w:r w:rsidR="00A714C3">
          <w:rPr>
            <w:noProof/>
            <w:webHidden/>
          </w:rPr>
          <w:fldChar w:fldCharType="begin"/>
        </w:r>
        <w:r w:rsidR="00A714C3">
          <w:rPr>
            <w:noProof/>
            <w:webHidden/>
          </w:rPr>
          <w:instrText xml:space="preserve"> PAGEREF _Toc90370738 \h </w:instrText>
        </w:r>
        <w:r w:rsidR="00A714C3">
          <w:rPr>
            <w:noProof/>
            <w:webHidden/>
          </w:rPr>
        </w:r>
        <w:r w:rsidR="00A714C3">
          <w:rPr>
            <w:noProof/>
            <w:webHidden/>
          </w:rPr>
          <w:fldChar w:fldCharType="separate"/>
        </w:r>
        <w:r w:rsidR="00A94867">
          <w:rPr>
            <w:noProof/>
            <w:webHidden/>
          </w:rPr>
          <w:t>7</w:t>
        </w:r>
        <w:r w:rsidR="00A714C3">
          <w:rPr>
            <w:noProof/>
            <w:webHidden/>
          </w:rPr>
          <w:fldChar w:fldCharType="end"/>
        </w:r>
      </w:hyperlink>
    </w:p>
    <w:p w14:paraId="0E1A56C7" w14:textId="15EB694E" w:rsidR="00A714C3" w:rsidRDefault="00DB583D">
      <w:pPr>
        <w:pStyle w:val="TOC2"/>
        <w:tabs>
          <w:tab w:val="left" w:pos="630"/>
        </w:tabs>
        <w:rPr>
          <w:rFonts w:asciiTheme="minorHAnsi" w:eastAsiaTheme="minorEastAsia" w:hAnsiTheme="minorHAnsi" w:cstheme="minorBidi"/>
          <w:noProof/>
          <w:color w:val="auto"/>
          <w:sz w:val="22"/>
          <w:szCs w:val="22"/>
          <w:lang w:val="fr-LU" w:eastAsia="fr-LU"/>
        </w:rPr>
      </w:pPr>
      <w:hyperlink w:anchor="_Toc90370739" w:history="1">
        <w:r w:rsidR="00A714C3" w:rsidRPr="00252D0D">
          <w:rPr>
            <w:rStyle w:val="Hyperlink"/>
            <w:noProof/>
          </w:rPr>
          <w:t>2.2.</w:t>
        </w:r>
        <w:r w:rsidR="00A714C3">
          <w:rPr>
            <w:rFonts w:asciiTheme="minorHAnsi" w:eastAsiaTheme="minorEastAsia" w:hAnsiTheme="minorHAnsi" w:cstheme="minorBidi"/>
            <w:noProof/>
            <w:color w:val="auto"/>
            <w:sz w:val="22"/>
            <w:szCs w:val="22"/>
            <w:lang w:val="fr-LU" w:eastAsia="fr-LU"/>
          </w:rPr>
          <w:tab/>
        </w:r>
        <w:r w:rsidR="00A714C3" w:rsidRPr="00252D0D">
          <w:rPr>
            <w:rStyle w:val="Hyperlink"/>
            <w:noProof/>
          </w:rPr>
          <w:t>PTT sistemi səviyyəsində keyfiyyət təminatı haqqında ümumi məlumat</w:t>
        </w:r>
        <w:r w:rsidR="00A714C3">
          <w:rPr>
            <w:noProof/>
            <w:webHidden/>
          </w:rPr>
          <w:tab/>
        </w:r>
        <w:r w:rsidR="00A714C3">
          <w:rPr>
            <w:noProof/>
            <w:webHidden/>
          </w:rPr>
          <w:fldChar w:fldCharType="begin"/>
        </w:r>
        <w:r w:rsidR="00A714C3">
          <w:rPr>
            <w:noProof/>
            <w:webHidden/>
          </w:rPr>
          <w:instrText xml:space="preserve"> PAGEREF _Toc90370739 \h </w:instrText>
        </w:r>
        <w:r w:rsidR="00A714C3">
          <w:rPr>
            <w:noProof/>
            <w:webHidden/>
          </w:rPr>
        </w:r>
        <w:r w:rsidR="00A714C3">
          <w:rPr>
            <w:noProof/>
            <w:webHidden/>
          </w:rPr>
          <w:fldChar w:fldCharType="separate"/>
        </w:r>
        <w:r w:rsidR="00A94867">
          <w:rPr>
            <w:noProof/>
            <w:webHidden/>
          </w:rPr>
          <w:t>8</w:t>
        </w:r>
        <w:r w:rsidR="00A714C3">
          <w:rPr>
            <w:noProof/>
            <w:webHidden/>
          </w:rPr>
          <w:fldChar w:fldCharType="end"/>
        </w:r>
      </w:hyperlink>
    </w:p>
    <w:p w14:paraId="237FC0C6" w14:textId="6C4794E7" w:rsidR="00A714C3" w:rsidRDefault="00DB583D">
      <w:pPr>
        <w:pStyle w:val="TOC2"/>
        <w:tabs>
          <w:tab w:val="left" w:pos="630"/>
        </w:tabs>
        <w:rPr>
          <w:rFonts w:asciiTheme="minorHAnsi" w:eastAsiaTheme="minorEastAsia" w:hAnsiTheme="minorHAnsi" w:cstheme="minorBidi"/>
          <w:noProof/>
          <w:color w:val="auto"/>
          <w:sz w:val="22"/>
          <w:szCs w:val="22"/>
          <w:lang w:val="fr-LU" w:eastAsia="fr-LU"/>
        </w:rPr>
      </w:pPr>
      <w:hyperlink w:anchor="_Toc90370740" w:history="1">
        <w:r w:rsidR="00A714C3" w:rsidRPr="00252D0D">
          <w:rPr>
            <w:rStyle w:val="Hyperlink"/>
            <w:noProof/>
          </w:rPr>
          <w:t>2.3.</w:t>
        </w:r>
        <w:r w:rsidR="00A714C3">
          <w:rPr>
            <w:rFonts w:asciiTheme="minorHAnsi" w:eastAsiaTheme="minorEastAsia" w:hAnsiTheme="minorHAnsi" w:cstheme="minorBidi"/>
            <w:noProof/>
            <w:color w:val="auto"/>
            <w:sz w:val="22"/>
            <w:szCs w:val="22"/>
            <w:lang w:val="fr-LU" w:eastAsia="fr-LU"/>
          </w:rPr>
          <w:tab/>
        </w:r>
        <w:r w:rsidR="00A714C3" w:rsidRPr="00252D0D">
          <w:rPr>
            <w:rStyle w:val="Hyperlink"/>
            <w:noProof/>
          </w:rPr>
          <w:t>Əsas PTT sahələrində keyfiyyət təminatı</w:t>
        </w:r>
        <w:r w:rsidR="00A714C3">
          <w:rPr>
            <w:noProof/>
            <w:webHidden/>
          </w:rPr>
          <w:tab/>
        </w:r>
        <w:r w:rsidR="00A714C3">
          <w:rPr>
            <w:noProof/>
            <w:webHidden/>
          </w:rPr>
          <w:fldChar w:fldCharType="begin"/>
        </w:r>
        <w:r w:rsidR="00A714C3">
          <w:rPr>
            <w:noProof/>
            <w:webHidden/>
          </w:rPr>
          <w:instrText xml:space="preserve"> PAGEREF _Toc90370740 \h </w:instrText>
        </w:r>
        <w:r w:rsidR="00A714C3">
          <w:rPr>
            <w:noProof/>
            <w:webHidden/>
          </w:rPr>
        </w:r>
        <w:r w:rsidR="00A714C3">
          <w:rPr>
            <w:noProof/>
            <w:webHidden/>
          </w:rPr>
          <w:fldChar w:fldCharType="separate"/>
        </w:r>
        <w:r w:rsidR="00A94867">
          <w:rPr>
            <w:noProof/>
            <w:webHidden/>
          </w:rPr>
          <w:t>9</w:t>
        </w:r>
        <w:r w:rsidR="00A714C3">
          <w:rPr>
            <w:noProof/>
            <w:webHidden/>
          </w:rPr>
          <w:fldChar w:fldCharType="end"/>
        </w:r>
      </w:hyperlink>
    </w:p>
    <w:p w14:paraId="77133369" w14:textId="16DBC2DC" w:rsidR="00A714C3" w:rsidRDefault="00DB583D">
      <w:pPr>
        <w:pStyle w:val="TOC1"/>
        <w:rPr>
          <w:rFonts w:asciiTheme="minorHAnsi" w:eastAsiaTheme="minorEastAsia" w:hAnsiTheme="minorHAnsi" w:cstheme="minorBidi"/>
          <w:caps w:val="0"/>
          <w:noProof/>
          <w:color w:val="auto"/>
          <w:sz w:val="22"/>
          <w:szCs w:val="22"/>
          <w:lang w:val="fr-LU" w:eastAsia="fr-LU"/>
        </w:rPr>
      </w:pPr>
      <w:hyperlink w:anchor="_Toc90370741" w:history="1">
        <w:r w:rsidR="00A714C3" w:rsidRPr="00252D0D">
          <w:rPr>
            <w:rStyle w:val="Hyperlink"/>
            <w:noProof/>
          </w:rPr>
          <w:t>Qısaltmaların siyahısı</w:t>
        </w:r>
        <w:r w:rsidR="00A714C3">
          <w:rPr>
            <w:noProof/>
            <w:webHidden/>
          </w:rPr>
          <w:tab/>
        </w:r>
        <w:r w:rsidR="00A714C3">
          <w:rPr>
            <w:noProof/>
            <w:webHidden/>
          </w:rPr>
          <w:fldChar w:fldCharType="begin"/>
        </w:r>
        <w:r w:rsidR="00A714C3">
          <w:rPr>
            <w:noProof/>
            <w:webHidden/>
          </w:rPr>
          <w:instrText xml:space="preserve"> PAGEREF _Toc90370741 \h </w:instrText>
        </w:r>
        <w:r w:rsidR="00A714C3">
          <w:rPr>
            <w:noProof/>
            <w:webHidden/>
          </w:rPr>
        </w:r>
        <w:r w:rsidR="00A714C3">
          <w:rPr>
            <w:noProof/>
            <w:webHidden/>
          </w:rPr>
          <w:fldChar w:fldCharType="separate"/>
        </w:r>
        <w:r w:rsidR="00A94867">
          <w:rPr>
            <w:noProof/>
            <w:webHidden/>
          </w:rPr>
          <w:t>12</w:t>
        </w:r>
        <w:r w:rsidR="00A714C3">
          <w:rPr>
            <w:noProof/>
            <w:webHidden/>
          </w:rPr>
          <w:fldChar w:fldCharType="end"/>
        </w:r>
      </w:hyperlink>
    </w:p>
    <w:p w14:paraId="08C3317D" w14:textId="276A581E" w:rsidR="009C4A05" w:rsidRPr="00A714C3" w:rsidRDefault="00D233A3" w:rsidP="0010743C">
      <w:pPr>
        <w:pStyle w:val="BodyText"/>
      </w:pPr>
      <w:r w:rsidRPr="00A714C3">
        <w:fldChar w:fldCharType="end"/>
      </w:r>
      <w:r w:rsidRPr="00A714C3">
        <w:br w:type="page"/>
      </w:r>
    </w:p>
    <w:p w14:paraId="3575AEC8" w14:textId="7305DB71" w:rsidR="008C3259" w:rsidRPr="00A714C3" w:rsidRDefault="009C4A05" w:rsidP="0075461F">
      <w:pPr>
        <w:pStyle w:val="Heading1"/>
        <w:numPr>
          <w:ilvl w:val="0"/>
          <w:numId w:val="12"/>
        </w:numPr>
        <w:spacing w:before="0"/>
        <w:ind w:left="709" w:hanging="709"/>
      </w:pPr>
      <w:bookmarkStart w:id="2" w:name="_Toc90370733"/>
      <w:r w:rsidRPr="00A714C3">
        <w:lastRenderedPageBreak/>
        <w:t>GİRİŞ</w:t>
      </w:r>
      <w:bookmarkEnd w:id="2"/>
    </w:p>
    <w:p w14:paraId="00E9AAFF" w14:textId="6D57BF04" w:rsidR="008C3259" w:rsidRPr="00A714C3" w:rsidRDefault="00B17C15" w:rsidP="00A154E3">
      <w:pPr>
        <w:pStyle w:val="Heading2"/>
        <w:numPr>
          <w:ilvl w:val="1"/>
          <w:numId w:val="13"/>
        </w:numPr>
        <w:ind w:left="709" w:hanging="709"/>
      </w:pPr>
      <w:bookmarkStart w:id="3" w:name="_Toc90370734"/>
      <w:r w:rsidRPr="00A714C3">
        <w:t>Ölkə haqqında məlumat</w:t>
      </w:r>
      <w:bookmarkEnd w:id="3"/>
    </w:p>
    <w:p w14:paraId="1F519D6E" w14:textId="023C3375" w:rsidR="008C3259" w:rsidRPr="00A714C3" w:rsidRDefault="008C3259" w:rsidP="004D4D72">
      <w:pPr>
        <w:pStyle w:val="BodyText"/>
      </w:pPr>
      <w:r w:rsidRPr="00A714C3">
        <w:t>Azərbaycan 10 milyon əhalisi olan yuxarı orta gəlirli ölkədir. Son zamanlarda gənclərin nisbəti azalmaqda olsa da, ölkə əhalisi gəncdir (2020-ci ildə əhali arasında 0-14 yaş arasında olanların payı 22.4% təşkil edirdi)</w:t>
      </w:r>
      <w:r w:rsidRPr="00A714C3">
        <w:rPr>
          <w:rStyle w:val="FootnoteReference"/>
          <w:rFonts w:ascii="Verdana" w:hAnsi="Verdana"/>
          <w:color w:val="000000"/>
          <w:lang w:val="en-GB"/>
        </w:rPr>
        <w:footnoteReference w:id="1"/>
      </w:r>
      <w:r w:rsidRPr="00A714C3">
        <w:t>.</w:t>
      </w:r>
    </w:p>
    <w:p w14:paraId="19113F8F" w14:textId="3A63142E" w:rsidR="008C3259" w:rsidRPr="00A714C3" w:rsidRDefault="008C3259" w:rsidP="004D4D72">
      <w:pPr>
        <w:pStyle w:val="BodyText"/>
      </w:pPr>
      <w:r w:rsidRPr="00A714C3">
        <w:t>Neft qiymətlərinin aşağı düşməsi nəticəsində ÜDM-in azalmasından sonra 2018 (1.4%) və 2019-cu (1%) illərdə ÜDM artım tempi stabil olmuşdur. Ölkə zəngin təbii ehtiyatlara malikdir, xüsusilə neft və qazla zəngindir. Sənayenin inkişafı və KOB-lar diqqət mərkəzində saxlanmaqla iqtisadiyyatın şaxələndirilməsi və zəruri şərt kimi insan kapitalının inkişaf etdirilməsi ölkənin əsas məqsədlərindən bəziləridir.</w:t>
      </w:r>
    </w:p>
    <w:p w14:paraId="45C01193" w14:textId="3C12371A" w:rsidR="008C3259" w:rsidRPr="00A714C3" w:rsidRDefault="008C3259" w:rsidP="004D4D72">
      <w:pPr>
        <w:pStyle w:val="BodyText"/>
      </w:pPr>
      <w:r w:rsidRPr="00A714C3">
        <w:t>Azərbaycan əmək bazarı nöqteyi-nəzərindən son beş ildə yüksək fəallıq göstəriciləri nümayiş etdirmişdir (2019-cu ildə 20-64 yaşlı əhali arasında 81.5%, qadınlar arasında 76%). İşsizlik səviyyəsi son beş ildə stabil qalmışdır (2019-cu ildə 4.8 %)</w:t>
      </w:r>
      <w:r w:rsidR="009378E5">
        <w:t>.</w:t>
      </w:r>
      <w:r w:rsidRPr="00A714C3">
        <w:t xml:space="preserve"> Lakin gənclər arasında işsizlik iki dəfədən artıqdır (2019-cu ildə 15-24 yaş arasındakı gənclər üzrə 12.4%)</w:t>
      </w:r>
      <w:r w:rsidR="009378E5">
        <w:t>.</w:t>
      </w:r>
    </w:p>
    <w:p w14:paraId="746F1492" w14:textId="136E8A56" w:rsidR="008C3259" w:rsidRPr="00A714C3" w:rsidRDefault="008C3259" w:rsidP="004D4D72">
      <w:pPr>
        <w:pStyle w:val="BodyText"/>
      </w:pPr>
      <w:r w:rsidRPr="00A714C3">
        <w:t>Son on ildə PTT-də iştirak səviyyəsi aşağı olsa da, bu göstərici yavaş-yavaş yüksəlməkdədir. 2019-cu ildə orta təhsil səviyyəsində təhsilalanların yalnız 14%-i PTT müəssisəsinə daxil olmuşdur (ISCED 3), qızlar arasında isə bu nisbət xüsusilə aşağı olmuşdur (7.3%). Ölkənin iqtisadi cəhətdən fəal əhalisinin ali təhsil alan hissəsi nisbətən azdır (ISCED 5–8-ci səviyyələr) – 2019-cu ildə 16.6%. 2019-cu ildə fəal əhalinin 76.4%-nin təhsil səviyyəsi orta idi (ISCED 3–4-cü səviyyələr).</w:t>
      </w:r>
    </w:p>
    <w:p w14:paraId="7B090560" w14:textId="659F6947" w:rsidR="008C3259" w:rsidRPr="00873597" w:rsidRDefault="00701562" w:rsidP="00AB228C">
      <w:pPr>
        <w:pStyle w:val="BodyText"/>
      </w:pPr>
      <w:r w:rsidRPr="00A714C3">
        <w:t>Paytaxt Bakıda təhsil alan şagirdlərin PISA qiymətləndirməsinin nəticələri təhsil sisteminin keyfiyyətinin yüksəldilməli olduğuna dəlalət edir - 2018-ci ildə təhsilalanların 60%-dən çoxu oxuda, 50%-dən çoxu riyaziyyatda</w:t>
      </w:r>
      <w:r w:rsidR="00C00867">
        <w:t xml:space="preserve"> və</w:t>
      </w:r>
      <w:r w:rsidRPr="00A714C3">
        <w:t xml:space="preserve"> 57%-dən çoxu təbiət elmlərində yetərsiz nəticə göstərmişdir, bu test edilən sahələrdə hətta ən sadə tapşırıqların yerinə yetirilə bilməməsi deməkdir (başqa sözlə, PISA şkalasında 2-ci səviyyənin keçilə bilməməsi)</w:t>
      </w:r>
      <w:r w:rsidR="008C3259" w:rsidRPr="00A714C3">
        <w:rPr>
          <w:rStyle w:val="FootnoteReference"/>
          <w:rFonts w:ascii="Verdana" w:hAnsi="Verdana"/>
          <w:color w:val="000000"/>
          <w:lang w:val="en-GB"/>
        </w:rPr>
        <w:footnoteReference w:id="2"/>
      </w:r>
      <w:r w:rsidR="00873597">
        <w:t>.</w:t>
      </w:r>
    </w:p>
    <w:p w14:paraId="02EAD00C" w14:textId="6CC7254B" w:rsidR="008C3259" w:rsidRPr="00A714C3" w:rsidRDefault="00AB228C" w:rsidP="00A154E3">
      <w:pPr>
        <w:pStyle w:val="Heading2"/>
        <w:numPr>
          <w:ilvl w:val="1"/>
          <w:numId w:val="13"/>
        </w:numPr>
        <w:ind w:left="709" w:hanging="709"/>
        <w:rPr>
          <w:sz w:val="20"/>
          <w:szCs w:val="20"/>
        </w:rPr>
      </w:pPr>
      <w:bookmarkStart w:id="4" w:name="_Toc90370735"/>
      <w:r w:rsidRPr="00A714C3">
        <w:t>Statistika</w:t>
      </w:r>
      <w:bookmarkEnd w:id="4"/>
    </w:p>
    <w:p w14:paraId="053C160F" w14:textId="6501EA38" w:rsidR="008C3259" w:rsidRPr="00A714C3" w:rsidRDefault="00AB228C" w:rsidP="00220BB3">
      <w:pPr>
        <w:pStyle w:val="TableHeader"/>
        <w:rPr>
          <w:rFonts w:ascii="Arial Bold" w:hAnsi="Arial Bold"/>
          <w:caps/>
        </w:rPr>
      </w:pPr>
      <w:r w:rsidRPr="00A714C3">
        <w:rPr>
          <w:rFonts w:ascii="Arial Bold" w:hAnsi="Arial Bold"/>
          <w:caps/>
        </w:rPr>
        <w:t>Cədvəl 1. Əhali</w:t>
      </w:r>
    </w:p>
    <w:p w14:paraId="15835551" w14:textId="77777777" w:rsidR="005E63FB" w:rsidRPr="00A714C3" w:rsidRDefault="005E63FB" w:rsidP="00220BB3">
      <w:pPr>
        <w:pStyle w:val="TableHeader"/>
        <w:rPr>
          <w:rFonts w:ascii="Arial Bold" w:hAnsi="Arial Bold"/>
          <w:caps/>
        </w:rPr>
      </w:pPr>
    </w:p>
    <w:tbl>
      <w:tblPr>
        <w:tblStyle w:val="ETFTable"/>
        <w:tblW w:w="9072" w:type="dxa"/>
        <w:tblLook w:val="04A0" w:firstRow="1" w:lastRow="0" w:firstColumn="1" w:lastColumn="0" w:noHBand="0" w:noVBand="1"/>
      </w:tblPr>
      <w:tblGrid>
        <w:gridCol w:w="862"/>
        <w:gridCol w:w="3677"/>
        <w:gridCol w:w="4533"/>
      </w:tblGrid>
      <w:tr w:rsidR="008C3259" w:rsidRPr="00A714C3" w14:paraId="5D4C2526" w14:textId="77777777" w:rsidTr="00712960">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62" w:type="dxa"/>
          </w:tcPr>
          <w:p w14:paraId="6D26EBAE" w14:textId="3D277EC6" w:rsidR="008C3259" w:rsidRPr="00A714C3" w:rsidRDefault="008C3259" w:rsidP="004D4D72">
            <w:pPr>
              <w:pStyle w:val="TableHeader"/>
            </w:pPr>
          </w:p>
        </w:tc>
        <w:tc>
          <w:tcPr>
            <w:tcW w:w="3677" w:type="dxa"/>
          </w:tcPr>
          <w:p w14:paraId="092C65D2" w14:textId="77777777"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Əhalinin sayı</w:t>
            </w:r>
          </w:p>
        </w:tc>
        <w:tc>
          <w:tcPr>
            <w:tcW w:w="4533" w:type="dxa"/>
          </w:tcPr>
          <w:p w14:paraId="074AD7F9" w14:textId="77777777"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Gənc əhalinin (15-24) sayı (%)</w:t>
            </w:r>
          </w:p>
        </w:tc>
      </w:tr>
      <w:tr w:rsidR="008C3259" w:rsidRPr="00A714C3" w14:paraId="4F718C72" w14:textId="77777777" w:rsidTr="00712960">
        <w:tc>
          <w:tcPr>
            <w:cnfStyle w:val="001000000000" w:firstRow="0" w:lastRow="0" w:firstColumn="1" w:lastColumn="0" w:oddVBand="0" w:evenVBand="0" w:oddHBand="0" w:evenHBand="0" w:firstRowFirstColumn="0" w:firstRowLastColumn="0" w:lastRowFirstColumn="0" w:lastRowLastColumn="0"/>
            <w:tcW w:w="862" w:type="dxa"/>
          </w:tcPr>
          <w:p w14:paraId="4D3A1DC3" w14:textId="77777777" w:rsidR="008C3259" w:rsidRPr="00A714C3" w:rsidRDefault="008C3259" w:rsidP="004D4D72">
            <w:pPr>
              <w:pStyle w:val="TableFirstColumn"/>
            </w:pPr>
            <w:r w:rsidRPr="00A714C3">
              <w:t>2010</w:t>
            </w:r>
          </w:p>
        </w:tc>
        <w:tc>
          <w:tcPr>
            <w:tcW w:w="3677" w:type="dxa"/>
          </w:tcPr>
          <w:p w14:paraId="49949E73"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8.997.586,00</w:t>
            </w:r>
          </w:p>
        </w:tc>
        <w:tc>
          <w:tcPr>
            <w:tcW w:w="4533" w:type="dxa"/>
          </w:tcPr>
          <w:p w14:paraId="658F8F19"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29,9</w:t>
            </w:r>
          </w:p>
        </w:tc>
      </w:tr>
      <w:tr w:rsidR="008C3259" w:rsidRPr="00A714C3" w14:paraId="6D3961F3" w14:textId="77777777" w:rsidTr="00712960">
        <w:tc>
          <w:tcPr>
            <w:cnfStyle w:val="001000000000" w:firstRow="0" w:lastRow="0" w:firstColumn="1" w:lastColumn="0" w:oddVBand="0" w:evenVBand="0" w:oddHBand="0" w:evenHBand="0" w:firstRowFirstColumn="0" w:firstRowLastColumn="0" w:lastRowFirstColumn="0" w:lastRowLastColumn="0"/>
            <w:tcW w:w="862" w:type="dxa"/>
          </w:tcPr>
          <w:p w14:paraId="5225CD80" w14:textId="77777777" w:rsidR="008C3259" w:rsidRPr="00A714C3" w:rsidRDefault="008C3259" w:rsidP="004D4D72">
            <w:pPr>
              <w:pStyle w:val="TableFirstColumn"/>
            </w:pPr>
            <w:r w:rsidRPr="00A714C3">
              <w:t>2015</w:t>
            </w:r>
          </w:p>
        </w:tc>
        <w:tc>
          <w:tcPr>
            <w:tcW w:w="3677" w:type="dxa"/>
          </w:tcPr>
          <w:p w14:paraId="0F498A69"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9.593.038,00</w:t>
            </w:r>
          </w:p>
        </w:tc>
        <w:tc>
          <w:tcPr>
            <w:tcW w:w="4533" w:type="dxa"/>
          </w:tcPr>
          <w:p w14:paraId="134F88A2"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24,6</w:t>
            </w:r>
          </w:p>
        </w:tc>
      </w:tr>
      <w:tr w:rsidR="008C3259" w:rsidRPr="00A714C3" w14:paraId="045F9653" w14:textId="77777777" w:rsidTr="00712960">
        <w:tc>
          <w:tcPr>
            <w:cnfStyle w:val="001000000000" w:firstRow="0" w:lastRow="0" w:firstColumn="1" w:lastColumn="0" w:oddVBand="0" w:evenVBand="0" w:oddHBand="0" w:evenHBand="0" w:firstRowFirstColumn="0" w:firstRowLastColumn="0" w:lastRowFirstColumn="0" w:lastRowLastColumn="0"/>
            <w:tcW w:w="862" w:type="dxa"/>
          </w:tcPr>
          <w:p w14:paraId="4D6FA2D5" w14:textId="77777777" w:rsidR="008C3259" w:rsidRPr="00A714C3" w:rsidRDefault="008C3259" w:rsidP="004D4D72">
            <w:pPr>
              <w:pStyle w:val="TableFirstColumn"/>
            </w:pPr>
            <w:r w:rsidRPr="00A714C3">
              <w:t>2020</w:t>
            </w:r>
          </w:p>
        </w:tc>
        <w:tc>
          <w:tcPr>
            <w:tcW w:w="3677" w:type="dxa"/>
          </w:tcPr>
          <w:p w14:paraId="4EC6B373"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10.067.108,00</w:t>
            </w:r>
          </w:p>
        </w:tc>
        <w:tc>
          <w:tcPr>
            <w:tcW w:w="4533" w:type="dxa"/>
          </w:tcPr>
          <w:p w14:paraId="37DF1619"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19,7</w:t>
            </w:r>
          </w:p>
        </w:tc>
      </w:tr>
    </w:tbl>
    <w:p w14:paraId="1B2EF90C" w14:textId="0807C8CC" w:rsidR="008C3259" w:rsidRPr="00A714C3" w:rsidRDefault="008C3259" w:rsidP="00FB43D5">
      <w:pPr>
        <w:pStyle w:val="TableSource"/>
      </w:pPr>
      <w:r w:rsidRPr="00A714C3">
        <w:t xml:space="preserve"> Mənbə: Azərbaycan Respublikası</w:t>
      </w:r>
      <w:r w:rsidR="00157447">
        <w:t>nın</w:t>
      </w:r>
      <w:r w:rsidRPr="00A714C3">
        <w:t xml:space="preserve"> Dövlət Statistika Komitəsi</w:t>
      </w:r>
    </w:p>
    <w:p w14:paraId="4B93DDC4" w14:textId="77777777" w:rsidR="00FB43D5" w:rsidRPr="00A714C3" w:rsidRDefault="00FB43D5">
      <w:pPr>
        <w:spacing w:line="276" w:lineRule="auto"/>
        <w:rPr>
          <w:b/>
          <w:caps/>
          <w:color w:val="009CDA" w:themeColor="background2"/>
        </w:rPr>
      </w:pPr>
      <w:r w:rsidRPr="00A714C3">
        <w:br w:type="page"/>
      </w:r>
    </w:p>
    <w:p w14:paraId="74150C96" w14:textId="6A6CB846" w:rsidR="008C3259" w:rsidRPr="00A714C3" w:rsidRDefault="00AB228C" w:rsidP="00FB43D5">
      <w:pPr>
        <w:pStyle w:val="TableHeader"/>
        <w:rPr>
          <w:rFonts w:ascii="Arial Bold" w:hAnsi="Arial Bold"/>
          <w:caps/>
        </w:rPr>
      </w:pPr>
      <w:r w:rsidRPr="00A714C3">
        <w:rPr>
          <w:rFonts w:ascii="Arial Bold" w:hAnsi="Arial Bold"/>
          <w:caps/>
        </w:rPr>
        <w:lastRenderedPageBreak/>
        <w:t>Cədvəl 2. Məşğulluq</w:t>
      </w:r>
    </w:p>
    <w:p w14:paraId="67E649F1" w14:textId="77777777" w:rsidR="005E63FB" w:rsidRPr="00A714C3" w:rsidRDefault="005E63FB" w:rsidP="00FB43D5">
      <w:pPr>
        <w:pStyle w:val="TableHeader"/>
      </w:pPr>
    </w:p>
    <w:tbl>
      <w:tblPr>
        <w:tblStyle w:val="ETFTable"/>
        <w:tblW w:w="0" w:type="auto"/>
        <w:tblLook w:val="04A0" w:firstRow="1" w:lastRow="0" w:firstColumn="1" w:lastColumn="0" w:noHBand="0" w:noVBand="1"/>
      </w:tblPr>
      <w:tblGrid>
        <w:gridCol w:w="924"/>
        <w:gridCol w:w="4156"/>
        <w:gridCol w:w="3991"/>
      </w:tblGrid>
      <w:tr w:rsidR="008C3259" w:rsidRPr="00A714C3" w14:paraId="0D236546" w14:textId="77777777" w:rsidTr="00FB4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690BE6A" w14:textId="73EF9473" w:rsidR="008C3259" w:rsidRPr="00A714C3" w:rsidRDefault="008C3259" w:rsidP="004D4D72">
            <w:pPr>
              <w:pStyle w:val="TableHeader"/>
            </w:pPr>
          </w:p>
        </w:tc>
        <w:tc>
          <w:tcPr>
            <w:tcW w:w="6237" w:type="dxa"/>
          </w:tcPr>
          <w:p w14:paraId="59E5E650" w14:textId="77777777"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Məşğulluq səviyyəsi % (15+)</w:t>
            </w:r>
          </w:p>
        </w:tc>
        <w:tc>
          <w:tcPr>
            <w:tcW w:w="5953" w:type="dxa"/>
          </w:tcPr>
          <w:p w14:paraId="63C163ED" w14:textId="049DEBCC"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 xml:space="preserve">Gənclər arasında məşğulluq </w:t>
            </w:r>
            <w:r w:rsidR="005C5B22">
              <w:t>səviyyəsi</w:t>
            </w:r>
            <w:r w:rsidRPr="00A714C3">
              <w:t xml:space="preserve"> % (15-24)</w:t>
            </w:r>
          </w:p>
        </w:tc>
      </w:tr>
      <w:tr w:rsidR="008C3259" w:rsidRPr="00A714C3" w14:paraId="4C509D13" w14:textId="77777777" w:rsidTr="00FB43D5">
        <w:tc>
          <w:tcPr>
            <w:cnfStyle w:val="001000000000" w:firstRow="0" w:lastRow="0" w:firstColumn="1" w:lastColumn="0" w:oddVBand="0" w:evenVBand="0" w:oddHBand="0" w:evenHBand="0" w:firstRowFirstColumn="0" w:firstRowLastColumn="0" w:lastRowFirstColumn="0" w:lastRowLastColumn="0"/>
            <w:tcW w:w="1134" w:type="dxa"/>
          </w:tcPr>
          <w:p w14:paraId="21F0F0AB" w14:textId="77777777" w:rsidR="008C3259" w:rsidRPr="00A714C3" w:rsidRDefault="008C3259" w:rsidP="004D4D72">
            <w:pPr>
              <w:pStyle w:val="TableFirstColumn"/>
            </w:pPr>
            <w:r w:rsidRPr="00A714C3">
              <w:t>2010</w:t>
            </w:r>
          </w:p>
        </w:tc>
        <w:tc>
          <w:tcPr>
            <w:tcW w:w="6237" w:type="dxa"/>
          </w:tcPr>
          <w:p w14:paraId="334D997A"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63</w:t>
            </w:r>
          </w:p>
        </w:tc>
        <w:tc>
          <w:tcPr>
            <w:tcW w:w="5953" w:type="dxa"/>
          </w:tcPr>
          <w:p w14:paraId="4305B07E"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29,2</w:t>
            </w:r>
          </w:p>
        </w:tc>
      </w:tr>
      <w:tr w:rsidR="008C3259" w:rsidRPr="00A714C3" w14:paraId="57795F4A" w14:textId="77777777" w:rsidTr="00FB43D5">
        <w:tc>
          <w:tcPr>
            <w:cnfStyle w:val="001000000000" w:firstRow="0" w:lastRow="0" w:firstColumn="1" w:lastColumn="0" w:oddVBand="0" w:evenVBand="0" w:oddHBand="0" w:evenHBand="0" w:firstRowFirstColumn="0" w:firstRowLastColumn="0" w:lastRowFirstColumn="0" w:lastRowLastColumn="0"/>
            <w:tcW w:w="1134" w:type="dxa"/>
          </w:tcPr>
          <w:p w14:paraId="4BA6D0CC" w14:textId="77777777" w:rsidR="008C3259" w:rsidRPr="00A714C3" w:rsidRDefault="008C3259" w:rsidP="004D4D72">
            <w:pPr>
              <w:pStyle w:val="TableFirstColumn"/>
            </w:pPr>
            <w:r w:rsidRPr="00A714C3">
              <w:t>2015</w:t>
            </w:r>
          </w:p>
        </w:tc>
        <w:tc>
          <w:tcPr>
            <w:tcW w:w="6237" w:type="dxa"/>
          </w:tcPr>
          <w:p w14:paraId="59A4F55A"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66,3</w:t>
            </w:r>
          </w:p>
        </w:tc>
        <w:tc>
          <w:tcPr>
            <w:tcW w:w="5953" w:type="dxa"/>
          </w:tcPr>
          <w:p w14:paraId="28657655"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37,5</w:t>
            </w:r>
          </w:p>
        </w:tc>
      </w:tr>
      <w:tr w:rsidR="008C3259" w:rsidRPr="00A714C3" w14:paraId="33C20563" w14:textId="77777777" w:rsidTr="00FB43D5">
        <w:tc>
          <w:tcPr>
            <w:cnfStyle w:val="001000000000" w:firstRow="0" w:lastRow="0" w:firstColumn="1" w:lastColumn="0" w:oddVBand="0" w:evenVBand="0" w:oddHBand="0" w:evenHBand="0" w:firstRowFirstColumn="0" w:firstRowLastColumn="0" w:lastRowFirstColumn="0" w:lastRowLastColumn="0"/>
            <w:tcW w:w="1134" w:type="dxa"/>
          </w:tcPr>
          <w:p w14:paraId="66496D80" w14:textId="77777777" w:rsidR="008C3259" w:rsidRPr="00A714C3" w:rsidRDefault="008C3259" w:rsidP="004D4D72">
            <w:pPr>
              <w:pStyle w:val="TableFirstColumn"/>
            </w:pPr>
            <w:r w:rsidRPr="00A714C3">
              <w:t>2019</w:t>
            </w:r>
          </w:p>
        </w:tc>
        <w:tc>
          <w:tcPr>
            <w:tcW w:w="6237" w:type="dxa"/>
          </w:tcPr>
          <w:p w14:paraId="29FABC9D"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67,3</w:t>
            </w:r>
          </w:p>
        </w:tc>
        <w:tc>
          <w:tcPr>
            <w:tcW w:w="5953" w:type="dxa"/>
          </w:tcPr>
          <w:p w14:paraId="1322A935"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41,3</w:t>
            </w:r>
          </w:p>
        </w:tc>
      </w:tr>
    </w:tbl>
    <w:p w14:paraId="27EE420B" w14:textId="13545B1A" w:rsidR="008C3259" w:rsidRPr="00A714C3" w:rsidRDefault="008C3259" w:rsidP="001E637D">
      <w:pPr>
        <w:pStyle w:val="TableSource"/>
      </w:pPr>
      <w:r w:rsidRPr="00A714C3">
        <w:t>Mənbə: Azərbaycan Respublikası</w:t>
      </w:r>
      <w:r w:rsidR="00B2355F">
        <w:t>nın</w:t>
      </w:r>
      <w:r w:rsidRPr="00A714C3">
        <w:t xml:space="preserve"> Dövlət Statistika Komitəsi</w:t>
      </w:r>
    </w:p>
    <w:p w14:paraId="7A68587D" w14:textId="08AF8DB4" w:rsidR="008C3259" w:rsidRPr="00A714C3" w:rsidRDefault="00FB43D5" w:rsidP="00FB43D5">
      <w:pPr>
        <w:pStyle w:val="TableHeader"/>
        <w:rPr>
          <w:rFonts w:ascii="Arial Bold" w:hAnsi="Arial Bold"/>
          <w:caps/>
        </w:rPr>
      </w:pPr>
      <w:r w:rsidRPr="00A714C3">
        <w:rPr>
          <w:rFonts w:ascii="Arial Bold" w:hAnsi="Arial Bold"/>
          <w:caps/>
        </w:rPr>
        <w:t>Cədvəl 3. Təhsil səviyyəsi</w:t>
      </w:r>
    </w:p>
    <w:p w14:paraId="51DBDC20" w14:textId="77777777" w:rsidR="005E63FB" w:rsidRPr="00A714C3" w:rsidRDefault="005E63FB" w:rsidP="00FB43D5">
      <w:pPr>
        <w:pStyle w:val="TableHeader"/>
        <w:rPr>
          <w:rFonts w:ascii="Arial Bold" w:hAnsi="Arial Bold"/>
          <w:caps/>
        </w:rPr>
      </w:pPr>
    </w:p>
    <w:tbl>
      <w:tblPr>
        <w:tblStyle w:val="ETFTable"/>
        <w:tblW w:w="0" w:type="auto"/>
        <w:tblLook w:val="04A0" w:firstRow="1" w:lastRow="0" w:firstColumn="1" w:lastColumn="0" w:noHBand="0" w:noVBand="1"/>
      </w:tblPr>
      <w:tblGrid>
        <w:gridCol w:w="837"/>
        <w:gridCol w:w="2217"/>
        <w:gridCol w:w="2029"/>
        <w:gridCol w:w="2104"/>
        <w:gridCol w:w="1884"/>
      </w:tblGrid>
      <w:tr w:rsidR="008C3259" w:rsidRPr="00A714C3" w14:paraId="6AC1A0C7" w14:textId="77777777" w:rsidTr="00FB4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14:paraId="1017B1F8" w14:textId="5D0E8884" w:rsidR="008C3259" w:rsidRPr="00A714C3" w:rsidRDefault="008C3259" w:rsidP="004D4D72">
            <w:pPr>
              <w:pStyle w:val="TableHeader"/>
            </w:pPr>
          </w:p>
        </w:tc>
        <w:tc>
          <w:tcPr>
            <w:tcW w:w="3091" w:type="dxa"/>
          </w:tcPr>
          <w:p w14:paraId="781322A0" w14:textId="1AB80DE2"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 xml:space="preserve">Məktəbin atılması </w:t>
            </w:r>
            <w:r w:rsidR="00F663BC">
              <w:t xml:space="preserve">Məktəbdən erkən ayrılma </w:t>
            </w:r>
            <w:r w:rsidRPr="00A714C3">
              <w:t>% (18-24)</w:t>
            </w:r>
          </w:p>
        </w:tc>
        <w:tc>
          <w:tcPr>
            <w:tcW w:w="3119" w:type="dxa"/>
          </w:tcPr>
          <w:p w14:paraId="1124426C" w14:textId="77777777"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 xml:space="preserve">Aşağı (%, 15+) </w:t>
            </w:r>
          </w:p>
        </w:tc>
        <w:tc>
          <w:tcPr>
            <w:tcW w:w="3356" w:type="dxa"/>
          </w:tcPr>
          <w:p w14:paraId="3714EB19" w14:textId="77777777"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 xml:space="preserve">Orta (%, 15+) </w:t>
            </w:r>
          </w:p>
        </w:tc>
        <w:tc>
          <w:tcPr>
            <w:tcW w:w="2739" w:type="dxa"/>
          </w:tcPr>
          <w:p w14:paraId="388BEAF6" w14:textId="77777777"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 xml:space="preserve">Yüksək (%, 15+) </w:t>
            </w:r>
          </w:p>
        </w:tc>
      </w:tr>
      <w:tr w:rsidR="008C3259" w:rsidRPr="00A714C3" w14:paraId="13E24FDB" w14:textId="77777777" w:rsidTr="00FB43D5">
        <w:tc>
          <w:tcPr>
            <w:cnfStyle w:val="001000000000" w:firstRow="0" w:lastRow="0" w:firstColumn="1" w:lastColumn="0" w:oddVBand="0" w:evenVBand="0" w:oddHBand="0" w:evenHBand="0" w:firstRowFirstColumn="0" w:firstRowLastColumn="0" w:lastRowFirstColumn="0" w:lastRowLastColumn="0"/>
            <w:tcW w:w="1019" w:type="dxa"/>
          </w:tcPr>
          <w:p w14:paraId="2141E217" w14:textId="77777777" w:rsidR="008C3259" w:rsidRPr="00A714C3" w:rsidRDefault="008C3259" w:rsidP="004D4D72">
            <w:pPr>
              <w:pStyle w:val="TableFirstColumn"/>
            </w:pPr>
            <w:r w:rsidRPr="00A714C3">
              <w:t>2012</w:t>
            </w:r>
          </w:p>
        </w:tc>
        <w:tc>
          <w:tcPr>
            <w:tcW w:w="3091" w:type="dxa"/>
          </w:tcPr>
          <w:p w14:paraId="778B4021"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MD</w:t>
            </w:r>
          </w:p>
        </w:tc>
        <w:tc>
          <w:tcPr>
            <w:tcW w:w="3119" w:type="dxa"/>
          </w:tcPr>
          <w:p w14:paraId="34281F89"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7,4</w:t>
            </w:r>
          </w:p>
        </w:tc>
        <w:tc>
          <w:tcPr>
            <w:tcW w:w="3356" w:type="dxa"/>
          </w:tcPr>
          <w:p w14:paraId="024E93D4"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76,3</w:t>
            </w:r>
          </w:p>
        </w:tc>
        <w:tc>
          <w:tcPr>
            <w:tcW w:w="2739" w:type="dxa"/>
          </w:tcPr>
          <w:p w14:paraId="1B89E351"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16,3</w:t>
            </w:r>
          </w:p>
        </w:tc>
      </w:tr>
      <w:tr w:rsidR="008C3259" w:rsidRPr="00A714C3" w14:paraId="6291B480" w14:textId="77777777" w:rsidTr="00FB43D5">
        <w:tc>
          <w:tcPr>
            <w:cnfStyle w:val="001000000000" w:firstRow="0" w:lastRow="0" w:firstColumn="1" w:lastColumn="0" w:oddVBand="0" w:evenVBand="0" w:oddHBand="0" w:evenHBand="0" w:firstRowFirstColumn="0" w:firstRowLastColumn="0" w:lastRowFirstColumn="0" w:lastRowLastColumn="0"/>
            <w:tcW w:w="1019" w:type="dxa"/>
          </w:tcPr>
          <w:p w14:paraId="6C1E3C3A" w14:textId="77777777" w:rsidR="008C3259" w:rsidRPr="00A714C3" w:rsidRDefault="008C3259" w:rsidP="004D4D72">
            <w:pPr>
              <w:pStyle w:val="TableFirstColumn"/>
            </w:pPr>
            <w:r w:rsidRPr="00A714C3">
              <w:t>2015</w:t>
            </w:r>
          </w:p>
        </w:tc>
        <w:tc>
          <w:tcPr>
            <w:tcW w:w="3091" w:type="dxa"/>
          </w:tcPr>
          <w:p w14:paraId="5EF97BB3"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MD</w:t>
            </w:r>
          </w:p>
        </w:tc>
        <w:tc>
          <w:tcPr>
            <w:tcW w:w="3119" w:type="dxa"/>
          </w:tcPr>
          <w:p w14:paraId="240B5AF8"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7,5</w:t>
            </w:r>
          </w:p>
        </w:tc>
        <w:tc>
          <w:tcPr>
            <w:tcW w:w="3356" w:type="dxa"/>
          </w:tcPr>
          <w:p w14:paraId="62ADA6DF"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76,2</w:t>
            </w:r>
          </w:p>
        </w:tc>
        <w:tc>
          <w:tcPr>
            <w:tcW w:w="2739" w:type="dxa"/>
          </w:tcPr>
          <w:p w14:paraId="3AE79D7E"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16,3</w:t>
            </w:r>
          </w:p>
        </w:tc>
      </w:tr>
      <w:tr w:rsidR="008C3259" w:rsidRPr="00A714C3" w14:paraId="0D38D443" w14:textId="77777777" w:rsidTr="00FB43D5">
        <w:tc>
          <w:tcPr>
            <w:cnfStyle w:val="001000000000" w:firstRow="0" w:lastRow="0" w:firstColumn="1" w:lastColumn="0" w:oddVBand="0" w:evenVBand="0" w:oddHBand="0" w:evenHBand="0" w:firstRowFirstColumn="0" w:firstRowLastColumn="0" w:lastRowFirstColumn="0" w:lastRowLastColumn="0"/>
            <w:tcW w:w="1019" w:type="dxa"/>
          </w:tcPr>
          <w:p w14:paraId="0AC68884" w14:textId="77777777" w:rsidR="008C3259" w:rsidRPr="00A714C3" w:rsidRDefault="008C3259" w:rsidP="004D4D72">
            <w:pPr>
              <w:pStyle w:val="TableFirstColumn"/>
            </w:pPr>
            <w:r w:rsidRPr="00A714C3">
              <w:t>2019</w:t>
            </w:r>
          </w:p>
        </w:tc>
        <w:tc>
          <w:tcPr>
            <w:tcW w:w="3091" w:type="dxa"/>
          </w:tcPr>
          <w:p w14:paraId="7D6FE6A6"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MD</w:t>
            </w:r>
          </w:p>
        </w:tc>
        <w:tc>
          <w:tcPr>
            <w:tcW w:w="3119" w:type="dxa"/>
          </w:tcPr>
          <w:p w14:paraId="48F05F12"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7,1</w:t>
            </w:r>
          </w:p>
        </w:tc>
        <w:tc>
          <w:tcPr>
            <w:tcW w:w="3356" w:type="dxa"/>
          </w:tcPr>
          <w:p w14:paraId="487C1D9D"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76,4</w:t>
            </w:r>
          </w:p>
        </w:tc>
        <w:tc>
          <w:tcPr>
            <w:tcW w:w="2739" w:type="dxa"/>
          </w:tcPr>
          <w:p w14:paraId="5C88F556"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16,6</w:t>
            </w:r>
          </w:p>
        </w:tc>
      </w:tr>
    </w:tbl>
    <w:p w14:paraId="5833D705" w14:textId="46CF6B46" w:rsidR="008C3259" w:rsidRPr="00A714C3" w:rsidRDefault="008C3259" w:rsidP="004D4D72">
      <w:pPr>
        <w:pStyle w:val="TableSource"/>
      </w:pPr>
      <w:r w:rsidRPr="00A714C3">
        <w:t>Mənbə: Azərbaycan Respublikası</w:t>
      </w:r>
      <w:r w:rsidR="0067795E">
        <w:t>nın</w:t>
      </w:r>
      <w:r w:rsidRPr="00A714C3">
        <w:t xml:space="preserve"> Dövlət Statistika Komitəsi</w:t>
      </w:r>
    </w:p>
    <w:p w14:paraId="57CCBBFF" w14:textId="7A989821" w:rsidR="008C3259" w:rsidRPr="00A714C3" w:rsidRDefault="00FB43D5" w:rsidP="00FB43D5">
      <w:pPr>
        <w:pStyle w:val="TableHeader"/>
        <w:rPr>
          <w:rFonts w:ascii="Arial Bold" w:hAnsi="Arial Bold"/>
          <w:caps/>
        </w:rPr>
      </w:pPr>
      <w:r w:rsidRPr="00A714C3">
        <w:rPr>
          <w:rFonts w:ascii="Arial Bold" w:hAnsi="Arial Bold"/>
          <w:caps/>
        </w:rPr>
        <w:t>Cədvəl 4. Peşə təhsili və təlimində iştirak (təhsil və təlimdə ümumi yaş koqortası faizi)</w:t>
      </w:r>
    </w:p>
    <w:p w14:paraId="4B112864" w14:textId="77777777" w:rsidR="005E63FB" w:rsidRPr="00A714C3" w:rsidRDefault="005E63FB" w:rsidP="00FB43D5">
      <w:pPr>
        <w:pStyle w:val="TableHeader"/>
        <w:rPr>
          <w:rFonts w:ascii="Arial Bold" w:hAnsi="Arial Bold"/>
          <w:caps/>
        </w:rPr>
      </w:pPr>
    </w:p>
    <w:tbl>
      <w:tblPr>
        <w:tblStyle w:val="ETFTable"/>
        <w:tblW w:w="0" w:type="auto"/>
        <w:tblLook w:val="04A0" w:firstRow="1" w:lastRow="0" w:firstColumn="1" w:lastColumn="0" w:noHBand="0" w:noVBand="1"/>
      </w:tblPr>
      <w:tblGrid>
        <w:gridCol w:w="864"/>
        <w:gridCol w:w="4216"/>
        <w:gridCol w:w="3991"/>
      </w:tblGrid>
      <w:tr w:rsidR="008C3259" w:rsidRPr="00A714C3" w14:paraId="5DB5D604" w14:textId="77777777" w:rsidTr="00FB4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14:paraId="64551607" w14:textId="79818961" w:rsidR="008C3259" w:rsidRPr="00A714C3" w:rsidRDefault="008C3259" w:rsidP="004D4D72">
            <w:pPr>
              <w:pStyle w:val="TableHeader"/>
            </w:pPr>
          </w:p>
        </w:tc>
        <w:tc>
          <w:tcPr>
            <w:tcW w:w="6352" w:type="dxa"/>
          </w:tcPr>
          <w:p w14:paraId="2F3AF611" w14:textId="77777777"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Yuxarı orta (ISCED 3) PTT</w:t>
            </w:r>
          </w:p>
        </w:tc>
        <w:tc>
          <w:tcPr>
            <w:tcW w:w="5953" w:type="dxa"/>
          </w:tcPr>
          <w:p w14:paraId="03FEB6C2" w14:textId="77777777" w:rsidR="008C3259" w:rsidRPr="00A714C3" w:rsidRDefault="008C3259" w:rsidP="004D4D72">
            <w:pPr>
              <w:pStyle w:val="TableHeader"/>
              <w:cnfStyle w:val="100000000000" w:firstRow="1" w:lastRow="0" w:firstColumn="0" w:lastColumn="0" w:oddVBand="0" w:evenVBand="0" w:oddHBand="0" w:evenHBand="0" w:firstRowFirstColumn="0" w:firstRowLastColumn="0" w:lastRowFirstColumn="0" w:lastRowLastColumn="0"/>
            </w:pPr>
            <w:r w:rsidRPr="00A714C3">
              <w:t>Yuxarı ortadan sonra (ISCED 4) PTT</w:t>
            </w:r>
          </w:p>
        </w:tc>
      </w:tr>
      <w:tr w:rsidR="008C3259" w:rsidRPr="00A714C3" w14:paraId="582E1A6B" w14:textId="77777777" w:rsidTr="00FB43D5">
        <w:tc>
          <w:tcPr>
            <w:cnfStyle w:val="001000000000" w:firstRow="0" w:lastRow="0" w:firstColumn="1" w:lastColumn="0" w:oddVBand="0" w:evenVBand="0" w:oddHBand="0" w:evenHBand="0" w:firstRowFirstColumn="0" w:firstRowLastColumn="0" w:lastRowFirstColumn="0" w:lastRowLastColumn="0"/>
            <w:tcW w:w="1019" w:type="dxa"/>
          </w:tcPr>
          <w:p w14:paraId="23E0315E" w14:textId="77777777" w:rsidR="008C3259" w:rsidRPr="00A714C3" w:rsidRDefault="008C3259" w:rsidP="004D4D72">
            <w:pPr>
              <w:pStyle w:val="TableFirstColumn"/>
            </w:pPr>
            <w:r w:rsidRPr="00A714C3">
              <w:t>2010</w:t>
            </w:r>
          </w:p>
        </w:tc>
        <w:tc>
          <w:tcPr>
            <w:tcW w:w="6352" w:type="dxa"/>
          </w:tcPr>
          <w:p w14:paraId="6AD2BBC9"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13,2</w:t>
            </w:r>
          </w:p>
        </w:tc>
        <w:tc>
          <w:tcPr>
            <w:tcW w:w="5953" w:type="dxa"/>
          </w:tcPr>
          <w:p w14:paraId="317B09A7"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MD</w:t>
            </w:r>
          </w:p>
        </w:tc>
      </w:tr>
      <w:tr w:rsidR="008C3259" w:rsidRPr="00A714C3" w14:paraId="7B5E9916" w14:textId="77777777" w:rsidTr="00FB43D5">
        <w:tc>
          <w:tcPr>
            <w:cnfStyle w:val="001000000000" w:firstRow="0" w:lastRow="0" w:firstColumn="1" w:lastColumn="0" w:oddVBand="0" w:evenVBand="0" w:oddHBand="0" w:evenHBand="0" w:firstRowFirstColumn="0" w:firstRowLastColumn="0" w:lastRowFirstColumn="0" w:lastRowLastColumn="0"/>
            <w:tcW w:w="1019" w:type="dxa"/>
          </w:tcPr>
          <w:p w14:paraId="7BB85109" w14:textId="77777777" w:rsidR="008C3259" w:rsidRPr="00A714C3" w:rsidRDefault="008C3259" w:rsidP="004D4D72">
            <w:pPr>
              <w:pStyle w:val="TableFirstColumn"/>
            </w:pPr>
            <w:r w:rsidRPr="00A714C3">
              <w:t>2015</w:t>
            </w:r>
          </w:p>
        </w:tc>
        <w:tc>
          <w:tcPr>
            <w:tcW w:w="6352" w:type="dxa"/>
          </w:tcPr>
          <w:p w14:paraId="6909C220"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13,5</w:t>
            </w:r>
          </w:p>
        </w:tc>
        <w:tc>
          <w:tcPr>
            <w:tcW w:w="5953" w:type="dxa"/>
          </w:tcPr>
          <w:p w14:paraId="36692935"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MD</w:t>
            </w:r>
          </w:p>
        </w:tc>
      </w:tr>
      <w:tr w:rsidR="008C3259" w:rsidRPr="00A714C3" w14:paraId="3BE2BDC6" w14:textId="77777777" w:rsidTr="00FB43D5">
        <w:tc>
          <w:tcPr>
            <w:cnfStyle w:val="001000000000" w:firstRow="0" w:lastRow="0" w:firstColumn="1" w:lastColumn="0" w:oddVBand="0" w:evenVBand="0" w:oddHBand="0" w:evenHBand="0" w:firstRowFirstColumn="0" w:firstRowLastColumn="0" w:lastRowFirstColumn="0" w:lastRowLastColumn="0"/>
            <w:tcW w:w="1019" w:type="dxa"/>
          </w:tcPr>
          <w:p w14:paraId="7723E217" w14:textId="77777777" w:rsidR="008C3259" w:rsidRPr="00A714C3" w:rsidRDefault="008C3259" w:rsidP="004D4D72">
            <w:pPr>
              <w:pStyle w:val="TableFirstColumn"/>
            </w:pPr>
            <w:r w:rsidRPr="00A714C3">
              <w:t>2019</w:t>
            </w:r>
          </w:p>
        </w:tc>
        <w:tc>
          <w:tcPr>
            <w:tcW w:w="6352" w:type="dxa"/>
          </w:tcPr>
          <w:p w14:paraId="36A58B5C"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14</w:t>
            </w:r>
          </w:p>
        </w:tc>
        <w:tc>
          <w:tcPr>
            <w:tcW w:w="5953" w:type="dxa"/>
          </w:tcPr>
          <w:p w14:paraId="07E01DC5" w14:textId="77777777" w:rsidR="008C3259" w:rsidRPr="00A714C3" w:rsidRDefault="008C3259" w:rsidP="004D4D72">
            <w:pPr>
              <w:pStyle w:val="TableText"/>
              <w:cnfStyle w:val="000000000000" w:firstRow="0" w:lastRow="0" w:firstColumn="0" w:lastColumn="0" w:oddVBand="0" w:evenVBand="0" w:oddHBand="0" w:evenHBand="0" w:firstRowFirstColumn="0" w:firstRowLastColumn="0" w:lastRowFirstColumn="0" w:lastRowLastColumn="0"/>
            </w:pPr>
            <w:r w:rsidRPr="00A714C3">
              <w:t>MD</w:t>
            </w:r>
          </w:p>
        </w:tc>
      </w:tr>
    </w:tbl>
    <w:p w14:paraId="33A872BE" w14:textId="6C8F0591" w:rsidR="008C3259" w:rsidRPr="00A714C3" w:rsidRDefault="008C3259" w:rsidP="00FB43D5">
      <w:pPr>
        <w:pStyle w:val="TableSource"/>
      </w:pPr>
      <w:r w:rsidRPr="00A714C3">
        <w:t>Mənbə: Azərbaycan Respublikası</w:t>
      </w:r>
      <w:r w:rsidR="00DE76AE">
        <w:t>nın</w:t>
      </w:r>
      <w:r w:rsidRPr="00A714C3">
        <w:t xml:space="preserve"> Dövlət Statistika Komitəsi</w:t>
      </w:r>
    </w:p>
    <w:p w14:paraId="6046C241" w14:textId="6D4DE6DB" w:rsidR="008C3259" w:rsidRPr="00A714C3" w:rsidRDefault="00FB43D5" w:rsidP="00FB43D5">
      <w:pPr>
        <w:pStyle w:val="TableHeader"/>
        <w:rPr>
          <w:rFonts w:ascii="Arial Bold" w:hAnsi="Arial Bold"/>
          <w:caps/>
        </w:rPr>
      </w:pPr>
      <w:r w:rsidRPr="00A714C3">
        <w:rPr>
          <w:rFonts w:ascii="Arial Bold" w:hAnsi="Arial Bold"/>
          <w:caps/>
        </w:rPr>
        <w:t>Cədvəl 5. Ümumi təhsil və PTT-yə yönəldilən vəsait</w:t>
      </w:r>
    </w:p>
    <w:p w14:paraId="609E4130" w14:textId="77777777" w:rsidR="00FB43D5" w:rsidRPr="00A714C3" w:rsidRDefault="00FB43D5" w:rsidP="00FB43D5">
      <w:pPr>
        <w:pStyle w:val="TableHeader"/>
      </w:pPr>
    </w:p>
    <w:tbl>
      <w:tblPr>
        <w:tblStyle w:val="ETFTable"/>
        <w:tblpPr w:leftFromText="180" w:rightFromText="180" w:vertAnchor="text" w:horzAnchor="margin" w:tblpY="29"/>
        <w:tblW w:w="9113" w:type="dxa"/>
        <w:tblLayout w:type="fixed"/>
        <w:tblLook w:val="04A0" w:firstRow="1" w:lastRow="0" w:firstColumn="1" w:lastColumn="0" w:noHBand="0" w:noVBand="1"/>
      </w:tblPr>
      <w:tblGrid>
        <w:gridCol w:w="851"/>
        <w:gridCol w:w="4179"/>
        <w:gridCol w:w="4083"/>
      </w:tblGrid>
      <w:tr w:rsidR="00FB43D5" w:rsidRPr="00A714C3" w14:paraId="5244F56D" w14:textId="77777777" w:rsidTr="00FB43D5">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51" w:type="dxa"/>
          </w:tcPr>
          <w:p w14:paraId="4DD9DC99" w14:textId="1EADC674" w:rsidR="00FB43D5" w:rsidRPr="00A714C3" w:rsidRDefault="00FB43D5" w:rsidP="00FB43D5">
            <w:pPr>
              <w:pStyle w:val="TableHeader"/>
            </w:pPr>
          </w:p>
        </w:tc>
        <w:tc>
          <w:tcPr>
            <w:tcW w:w="4179" w:type="dxa"/>
          </w:tcPr>
          <w:p w14:paraId="39F0C09C" w14:textId="77777777" w:rsidR="00FB43D5" w:rsidRPr="00A714C3" w:rsidRDefault="00FB43D5" w:rsidP="00FB43D5">
            <w:pPr>
              <w:pStyle w:val="TableHeader"/>
              <w:cnfStyle w:val="100000000000" w:firstRow="1" w:lastRow="0" w:firstColumn="0" w:lastColumn="0" w:oddVBand="0" w:evenVBand="0" w:oddHBand="0" w:evenHBand="0" w:firstRowFirstColumn="0" w:firstRowLastColumn="0" w:lastRowFirstColumn="0" w:lastRowLastColumn="0"/>
            </w:pPr>
            <w:r w:rsidRPr="00A714C3">
              <w:t>Ümumi təhsildə ISCED 3-4 səviyyələri üçün (PTT daxil olmaqla), ÜDM %-i kimi</w:t>
            </w:r>
          </w:p>
        </w:tc>
        <w:tc>
          <w:tcPr>
            <w:tcW w:w="4083" w:type="dxa"/>
          </w:tcPr>
          <w:p w14:paraId="6419F125" w14:textId="77777777" w:rsidR="00FB43D5" w:rsidRPr="00A714C3" w:rsidRDefault="00FB43D5" w:rsidP="00FB43D5">
            <w:pPr>
              <w:pStyle w:val="TableHeader"/>
              <w:cnfStyle w:val="100000000000" w:firstRow="1" w:lastRow="0" w:firstColumn="0" w:lastColumn="0" w:oddVBand="0" w:evenVBand="0" w:oddHBand="0" w:evenHBand="0" w:firstRowFirstColumn="0" w:firstRowLastColumn="0" w:lastRowFirstColumn="0" w:lastRowLastColumn="0"/>
            </w:pPr>
            <w:r w:rsidRPr="00A714C3">
              <w:t>Yalnız PTT-də ISCED 3-4 səviyyələri üçün, ÜDM %-i kimi</w:t>
            </w:r>
          </w:p>
        </w:tc>
      </w:tr>
      <w:tr w:rsidR="00FB43D5" w:rsidRPr="00A714C3" w14:paraId="4B7C68FA" w14:textId="77777777" w:rsidTr="00FB43D5">
        <w:trPr>
          <w:trHeight w:val="79"/>
        </w:trPr>
        <w:tc>
          <w:tcPr>
            <w:cnfStyle w:val="001000000000" w:firstRow="0" w:lastRow="0" w:firstColumn="1" w:lastColumn="0" w:oddVBand="0" w:evenVBand="0" w:oddHBand="0" w:evenHBand="0" w:firstRowFirstColumn="0" w:firstRowLastColumn="0" w:lastRowFirstColumn="0" w:lastRowLastColumn="0"/>
            <w:tcW w:w="851" w:type="dxa"/>
          </w:tcPr>
          <w:p w14:paraId="3A884066" w14:textId="77777777" w:rsidR="00FB43D5" w:rsidRPr="00A714C3" w:rsidRDefault="00FB43D5" w:rsidP="00FB43D5">
            <w:pPr>
              <w:pStyle w:val="TableFirstColumn"/>
            </w:pPr>
            <w:r w:rsidRPr="00A714C3">
              <w:t>2010</w:t>
            </w:r>
          </w:p>
        </w:tc>
        <w:tc>
          <w:tcPr>
            <w:tcW w:w="4179" w:type="dxa"/>
          </w:tcPr>
          <w:p w14:paraId="181B4ED1" w14:textId="77777777" w:rsidR="00FB43D5" w:rsidRPr="00A714C3" w:rsidRDefault="00FB43D5" w:rsidP="00FB43D5">
            <w:pPr>
              <w:pStyle w:val="TableText"/>
              <w:cnfStyle w:val="000000000000" w:firstRow="0" w:lastRow="0" w:firstColumn="0" w:lastColumn="0" w:oddVBand="0" w:evenVBand="0" w:oddHBand="0" w:evenHBand="0" w:firstRowFirstColumn="0" w:firstRowLastColumn="0" w:lastRowFirstColumn="0" w:lastRowLastColumn="0"/>
            </w:pPr>
            <w:r w:rsidRPr="00A714C3">
              <w:t>MD</w:t>
            </w:r>
          </w:p>
        </w:tc>
        <w:tc>
          <w:tcPr>
            <w:tcW w:w="4083" w:type="dxa"/>
          </w:tcPr>
          <w:p w14:paraId="6AAB5F85" w14:textId="77777777" w:rsidR="00FB43D5" w:rsidRPr="00A714C3" w:rsidRDefault="00FB43D5" w:rsidP="00FB43D5">
            <w:pPr>
              <w:pStyle w:val="TableText"/>
              <w:cnfStyle w:val="000000000000" w:firstRow="0" w:lastRow="0" w:firstColumn="0" w:lastColumn="0" w:oddVBand="0" w:evenVBand="0" w:oddHBand="0" w:evenHBand="0" w:firstRowFirstColumn="0" w:firstRowLastColumn="0" w:lastRowFirstColumn="0" w:lastRowLastColumn="0"/>
            </w:pPr>
            <w:r w:rsidRPr="00A714C3">
              <w:t>MD</w:t>
            </w:r>
          </w:p>
        </w:tc>
      </w:tr>
      <w:tr w:rsidR="00FB43D5" w:rsidRPr="00A714C3" w14:paraId="4A1C7716" w14:textId="77777777" w:rsidTr="00FB43D5">
        <w:trPr>
          <w:trHeight w:val="207"/>
        </w:trPr>
        <w:tc>
          <w:tcPr>
            <w:cnfStyle w:val="001000000000" w:firstRow="0" w:lastRow="0" w:firstColumn="1" w:lastColumn="0" w:oddVBand="0" w:evenVBand="0" w:oddHBand="0" w:evenHBand="0" w:firstRowFirstColumn="0" w:firstRowLastColumn="0" w:lastRowFirstColumn="0" w:lastRowLastColumn="0"/>
            <w:tcW w:w="851" w:type="dxa"/>
          </w:tcPr>
          <w:p w14:paraId="7ED41BBA" w14:textId="77777777" w:rsidR="00FB43D5" w:rsidRPr="00A714C3" w:rsidRDefault="00FB43D5" w:rsidP="00FB43D5">
            <w:pPr>
              <w:pStyle w:val="TableFirstColumn"/>
            </w:pPr>
            <w:r w:rsidRPr="00A714C3">
              <w:t>2014</w:t>
            </w:r>
          </w:p>
        </w:tc>
        <w:tc>
          <w:tcPr>
            <w:tcW w:w="4179" w:type="dxa"/>
          </w:tcPr>
          <w:p w14:paraId="2A38B7C4" w14:textId="77777777" w:rsidR="00FB43D5" w:rsidRPr="00A714C3" w:rsidRDefault="00FB43D5" w:rsidP="00FB43D5">
            <w:pPr>
              <w:pStyle w:val="TableText"/>
              <w:cnfStyle w:val="000000000000" w:firstRow="0" w:lastRow="0" w:firstColumn="0" w:lastColumn="0" w:oddVBand="0" w:evenVBand="0" w:oddHBand="0" w:evenHBand="0" w:firstRowFirstColumn="0" w:firstRowLastColumn="0" w:lastRowFirstColumn="0" w:lastRowLastColumn="0"/>
            </w:pPr>
            <w:r w:rsidRPr="00A714C3">
              <w:t>MD</w:t>
            </w:r>
          </w:p>
        </w:tc>
        <w:tc>
          <w:tcPr>
            <w:tcW w:w="4083" w:type="dxa"/>
          </w:tcPr>
          <w:p w14:paraId="5CEEA428" w14:textId="77777777" w:rsidR="00FB43D5" w:rsidRPr="00A714C3" w:rsidRDefault="00FB43D5" w:rsidP="00FB43D5">
            <w:pPr>
              <w:pStyle w:val="TableText"/>
              <w:cnfStyle w:val="000000000000" w:firstRow="0" w:lastRow="0" w:firstColumn="0" w:lastColumn="0" w:oddVBand="0" w:evenVBand="0" w:oddHBand="0" w:evenHBand="0" w:firstRowFirstColumn="0" w:firstRowLastColumn="0" w:lastRowFirstColumn="0" w:lastRowLastColumn="0"/>
            </w:pPr>
            <w:r w:rsidRPr="00A714C3">
              <w:t>MD</w:t>
            </w:r>
          </w:p>
        </w:tc>
      </w:tr>
      <w:tr w:rsidR="00FB43D5" w:rsidRPr="00A714C3" w14:paraId="685B4F05" w14:textId="77777777" w:rsidTr="00FB43D5">
        <w:trPr>
          <w:trHeight w:val="207"/>
        </w:trPr>
        <w:tc>
          <w:tcPr>
            <w:cnfStyle w:val="001000000000" w:firstRow="0" w:lastRow="0" w:firstColumn="1" w:lastColumn="0" w:oddVBand="0" w:evenVBand="0" w:oddHBand="0" w:evenHBand="0" w:firstRowFirstColumn="0" w:firstRowLastColumn="0" w:lastRowFirstColumn="0" w:lastRowLastColumn="0"/>
            <w:tcW w:w="851" w:type="dxa"/>
          </w:tcPr>
          <w:p w14:paraId="411157B1" w14:textId="77777777" w:rsidR="00FB43D5" w:rsidRPr="00A714C3" w:rsidRDefault="00FB43D5" w:rsidP="00FB43D5">
            <w:pPr>
              <w:pStyle w:val="TableFirstColumn"/>
            </w:pPr>
            <w:r w:rsidRPr="00A714C3">
              <w:t>2018</w:t>
            </w:r>
          </w:p>
        </w:tc>
        <w:tc>
          <w:tcPr>
            <w:tcW w:w="4179" w:type="dxa"/>
          </w:tcPr>
          <w:p w14:paraId="515DECD4" w14:textId="77777777" w:rsidR="00FB43D5" w:rsidRPr="00A714C3" w:rsidRDefault="00FB43D5" w:rsidP="00FB43D5">
            <w:pPr>
              <w:pStyle w:val="TableText"/>
              <w:cnfStyle w:val="000000000000" w:firstRow="0" w:lastRow="0" w:firstColumn="0" w:lastColumn="0" w:oddVBand="0" w:evenVBand="0" w:oddHBand="0" w:evenHBand="0" w:firstRowFirstColumn="0" w:firstRowLastColumn="0" w:lastRowFirstColumn="0" w:lastRowLastColumn="0"/>
            </w:pPr>
            <w:r w:rsidRPr="00A714C3">
              <w:t>MD</w:t>
            </w:r>
          </w:p>
        </w:tc>
        <w:tc>
          <w:tcPr>
            <w:tcW w:w="4083" w:type="dxa"/>
          </w:tcPr>
          <w:p w14:paraId="1B535E74" w14:textId="77777777" w:rsidR="00FB43D5" w:rsidRPr="00A714C3" w:rsidRDefault="00FB43D5" w:rsidP="00FB43D5">
            <w:pPr>
              <w:pStyle w:val="TableText"/>
              <w:cnfStyle w:val="000000000000" w:firstRow="0" w:lastRow="0" w:firstColumn="0" w:lastColumn="0" w:oddVBand="0" w:evenVBand="0" w:oddHBand="0" w:evenHBand="0" w:firstRowFirstColumn="0" w:firstRowLastColumn="0" w:lastRowFirstColumn="0" w:lastRowLastColumn="0"/>
            </w:pPr>
            <w:r w:rsidRPr="00A714C3">
              <w:t>MD</w:t>
            </w:r>
          </w:p>
        </w:tc>
      </w:tr>
    </w:tbl>
    <w:p w14:paraId="241E5B74" w14:textId="77777777" w:rsidR="00FB43D5" w:rsidRPr="00A714C3" w:rsidRDefault="00FB43D5" w:rsidP="00ED0F4A">
      <w:pPr>
        <w:pStyle w:val="Heading2"/>
      </w:pPr>
    </w:p>
    <w:p w14:paraId="2839A9E1" w14:textId="3E0E07C2" w:rsidR="008C3259" w:rsidRPr="00A714C3" w:rsidRDefault="007C159B" w:rsidP="00A154E3">
      <w:pPr>
        <w:pStyle w:val="Heading2"/>
        <w:numPr>
          <w:ilvl w:val="1"/>
          <w:numId w:val="13"/>
        </w:numPr>
        <w:ind w:left="709" w:hanging="709"/>
      </w:pPr>
      <w:bookmarkStart w:id="5" w:name="_Toc90370736"/>
      <w:r w:rsidRPr="00A714C3">
        <w:t>Peşə təhsili və təlimi (PTT) sistemi</w:t>
      </w:r>
      <w:bookmarkEnd w:id="5"/>
      <w:r w:rsidRPr="00A714C3">
        <w:t xml:space="preserve"> </w:t>
      </w:r>
    </w:p>
    <w:p w14:paraId="07C80719" w14:textId="12BDBAAB" w:rsidR="008C3259" w:rsidRPr="00A714C3" w:rsidRDefault="008C3259" w:rsidP="00A77F46">
      <w:pPr>
        <w:pStyle w:val="BodyText"/>
        <w:rPr>
          <w:color w:val="039FED"/>
        </w:rPr>
      </w:pPr>
      <w:r w:rsidRPr="00A714C3">
        <w:t>Azərbaycanda PTT ilk peşə təhsili, texniki peşə təhsili və yüksək texniki peşə təhsili pillələrindən ibarətdir.</w:t>
      </w:r>
    </w:p>
    <w:p w14:paraId="1FC50248" w14:textId="13AEF928" w:rsidR="008C3259" w:rsidRPr="00A714C3" w:rsidRDefault="008C3259" w:rsidP="00AC18F2">
      <w:pPr>
        <w:pStyle w:val="Heading3"/>
      </w:pPr>
      <w:r w:rsidRPr="00A714C3">
        <w:t>İdarəçilik və idarəetmə</w:t>
      </w:r>
    </w:p>
    <w:p w14:paraId="63F54079" w14:textId="2D6E2348" w:rsidR="008C3259" w:rsidRPr="00A714C3" w:rsidRDefault="008C3259" w:rsidP="00A77F46">
      <w:pPr>
        <w:pStyle w:val="BodyText"/>
      </w:pPr>
      <w:r w:rsidRPr="00A714C3">
        <w:t xml:space="preserve">Təhsil Nazirliyi (TN) təhsil sisteminin işinə və inkişafına nəzarət edir. O, təhsil müəssisələrinə nəzarət edir, təhsil standartlarını hazırlayır, onlara uyğun təhsilin təmin edilməsini, təminatçıların akkreditasiyasını təşkil edir, monitorinq və qiymətləndirməni təmin edir. 2016-cı ildə təsis edilən Təhsil </w:t>
      </w:r>
      <w:r w:rsidRPr="00A714C3">
        <w:lastRenderedPageBreak/>
        <w:t>Nazirliyi yanında Peşə Təhsili üzrə Dövlət Agentliyi PTT sahəsində dövlət siyasətini icra edir, səriştə əsaslı və nəticə yönümlü, öyrənmə prosesində innovasiyanın tətbiqini təbliğ edən təhsil standartlarını və kurrikulumlarını (proqramları) hazırlayır və icra edir.</w:t>
      </w:r>
    </w:p>
    <w:p w14:paraId="52B74443" w14:textId="365F6807" w:rsidR="008C3259" w:rsidRPr="00A714C3" w:rsidRDefault="008C3259" w:rsidP="00A77F46">
      <w:pPr>
        <w:pStyle w:val="BodyText"/>
      </w:pPr>
      <w:r w:rsidRPr="00A714C3">
        <w:t>Əmək və Əhalinin Sosial Müdafiəsi Nazirliyi (ƏƏSMN) əmək münasibətləri, əməyin mühafizəsi, əmək ehtiyatlarından istifadə, əhalinin sosial müdafiəsi və məşğulluğu sahələrində dövlət siyasətini icra edir. O, peşə və kvalifikasiya standartlarının hazırlanmasını koordinasiya edir.</w:t>
      </w:r>
    </w:p>
    <w:p w14:paraId="5BC2A42B" w14:textId="2BF10308" w:rsidR="008C3259" w:rsidRPr="00A714C3" w:rsidRDefault="003D2B26" w:rsidP="00A77F46">
      <w:pPr>
        <w:pStyle w:val="BodyText"/>
      </w:pPr>
      <w:r w:rsidRPr="00A714C3">
        <w:t xml:space="preserve">2019-cu ildə təsis edilən Təhsildə Keyfiyyət Təminatı Agentliyi </w:t>
      </w:r>
      <w:r w:rsidR="00A74221">
        <w:t xml:space="preserve"> </w:t>
      </w:r>
      <w:r w:rsidR="00B83DF3">
        <w:t>təhsil müəssisələrinin akkreditasiyasına və fəaliyyətinin lisenziyalaşdırılmasına</w:t>
      </w:r>
      <w:r w:rsidRPr="00A714C3">
        <w:t xml:space="preserve">, xarici kvalifikasiyaların tanınmasına, qeyri-formal və informal </w:t>
      </w:r>
      <w:r w:rsidR="006949E0">
        <w:t xml:space="preserve">təhsilin tanınmasına </w:t>
      </w:r>
      <w:r w:rsidRPr="00A714C3">
        <w:t>görə cavabdehdir.</w:t>
      </w:r>
    </w:p>
    <w:p w14:paraId="5520D9B1" w14:textId="2199BC78" w:rsidR="008C3259" w:rsidRPr="00A714C3" w:rsidRDefault="008C3259" w:rsidP="00A77F46">
      <w:pPr>
        <w:pStyle w:val="BodyText"/>
      </w:pPr>
      <w:r w:rsidRPr="00A714C3">
        <w:t>Dövlət İmtahan Mərkəzi orta məktəblərdə buraxılış imtahanlarını həyata keçirir, qəbul imtahanlarına və şagirdlərin ali təhsil müəssisələrinə qəbuluna nəzarət edir.</w:t>
      </w:r>
    </w:p>
    <w:p w14:paraId="4D7A44F1" w14:textId="346E2F71" w:rsidR="008C3259" w:rsidRPr="00A714C3" w:rsidRDefault="008C3259" w:rsidP="00AC18F2">
      <w:pPr>
        <w:pStyle w:val="BodyText"/>
      </w:pPr>
      <w:r w:rsidRPr="00A714C3">
        <w:t>PTT-də formal sosial tərəfdaşlıq mexanizmi mövcud olmadığından qeyri-dövlət subyektlərinin PTT idarəçiliyində iştirakı məhduddur.</w:t>
      </w:r>
    </w:p>
    <w:p w14:paraId="66B3A94A" w14:textId="77777777" w:rsidR="008C3259" w:rsidRPr="00A714C3" w:rsidRDefault="008C3259" w:rsidP="00AC18F2">
      <w:pPr>
        <w:pStyle w:val="Heading3"/>
      </w:pPr>
      <w:r w:rsidRPr="00A714C3">
        <w:t>Maliyyələşdirmə</w:t>
      </w:r>
    </w:p>
    <w:p w14:paraId="157270A0" w14:textId="21E00483" w:rsidR="008C3259" w:rsidRPr="00A714C3" w:rsidRDefault="008C3259" w:rsidP="00A77F46">
      <w:pPr>
        <w:pStyle w:val="BodyText"/>
      </w:pPr>
      <w:r w:rsidRPr="00A714C3">
        <w:t>Dövlət PTT müəssisələri dövlət tərəfindən, özəl və bələdiyyəyə məxsus PTT müəssisələri təsisçinin büdcəsi hesabına maliyyələşir. Hazırda dövlət PTT müəssisələrinin özəl mənbələrdən maliyyələşdirilməsi üçün mexanizm mövcud deyil. Dövlət PTT təşkilatçıları müvəqqəti xidmətlər vasitəsilə gəlir əldə edə bilərlər, lakin hazırda bu məbləğ yetərsizdir.</w:t>
      </w:r>
    </w:p>
    <w:p w14:paraId="62575D73" w14:textId="18B02756" w:rsidR="008C3259" w:rsidRPr="00A714C3" w:rsidRDefault="008C3259" w:rsidP="00A77F46">
      <w:pPr>
        <w:pStyle w:val="BodyText"/>
      </w:pPr>
      <w:r w:rsidRPr="00A714C3">
        <w:t>PTT məktəbləri üçün resurslar TN tərəfindən məktəbin ölçüsü, təhsilalanların sayı, məktəbin xərcləri və başqa amillər nəzərə alınmaqla ayrılır. Dövlət PTT müəssisələrinin növbəti maliyyə ilində maliyyələşdirilmə normaları büdcə ayrılmalarının faktiki məbləği əsasında müəyyən edilir. Resursların ayrılması zamanı infrastruktur və obyektin tələbləri, kurrikulumun tələbləri, müəllim və ya menecerlərin peşəkar inkişafı və ya işəgötürənlərdən və başqa təşkilatlardan peşəkarların cəlb edilməsi nəzərə alınmır.</w:t>
      </w:r>
    </w:p>
    <w:p w14:paraId="07E0E903" w14:textId="2A19E2EB" w:rsidR="008C3259" w:rsidRPr="00A714C3" w:rsidRDefault="008C3259" w:rsidP="00AC18F2">
      <w:pPr>
        <w:pStyle w:val="BodyText"/>
      </w:pPr>
      <w:r w:rsidRPr="00A714C3">
        <w:t>Azərbaycan güclü nəticələrə əsaslanan maliyyələşdirmə sistemi yaratmaq məqsədini qəbul etmişdir. Peşə təhsili haqqında qanun (2018-ci ildə qəbul edilib) vəsaitlərin PTT müəssisələri arasında şəffaf qaydada paylanması və idarə edilməsi üçün TN yanında “Peşə Təhsilinin İnkişafı Fondu”nun təsis edilməsini nəzərdə tutur.</w:t>
      </w:r>
    </w:p>
    <w:p w14:paraId="5A57BF33" w14:textId="3E23163B" w:rsidR="008C3259" w:rsidRPr="00A714C3" w:rsidRDefault="008C3259" w:rsidP="00AC18F2">
      <w:pPr>
        <w:pStyle w:val="Heading3"/>
      </w:pPr>
      <w:r w:rsidRPr="00A714C3">
        <w:t>Normativ baza</w:t>
      </w:r>
    </w:p>
    <w:p w14:paraId="734F00AF" w14:textId="77777777" w:rsidR="008C3259" w:rsidRPr="00A714C3" w:rsidRDefault="008C3259" w:rsidP="00A77F46">
      <w:pPr>
        <w:pStyle w:val="BodyText"/>
      </w:pPr>
      <w:r w:rsidRPr="00A714C3">
        <w:t>PTT sistemi əsasən aşağıdakılarla tənzimlənir:</w:t>
      </w:r>
    </w:p>
    <w:p w14:paraId="38DA2EC3" w14:textId="745EC22E" w:rsidR="008C3259" w:rsidRPr="004A518F" w:rsidRDefault="008C3259" w:rsidP="0075461F">
      <w:pPr>
        <w:pStyle w:val="BodyText"/>
        <w:numPr>
          <w:ilvl w:val="0"/>
          <w:numId w:val="9"/>
        </w:numPr>
        <w:spacing w:after="0"/>
        <w:ind w:hanging="357"/>
      </w:pPr>
      <w:r w:rsidRPr="00B47F32">
        <w:t>;</w:t>
      </w:r>
      <w:r w:rsidR="00B47F32">
        <w:t xml:space="preserve"> </w:t>
      </w:r>
      <w:r w:rsidR="00B47F32">
        <w:rPr>
          <w:color w:val="616264"/>
          <w:shd w:val="clear" w:color="auto" w:fill="FFFFFF"/>
        </w:rPr>
        <w:t>“Təhsil haqqında” Azərbaycan Respublikasının 2009-cu il 19 iyun tarixli Qanunu</w:t>
      </w:r>
      <w:r w:rsidR="00051A6F">
        <w:rPr>
          <w:strike/>
        </w:rPr>
        <w:t xml:space="preserve"> </w:t>
      </w:r>
      <w:r w:rsidR="00F01DDD">
        <w:rPr>
          <w:strike/>
        </w:rPr>
        <w:t xml:space="preserve">   </w:t>
      </w:r>
    </w:p>
    <w:p w14:paraId="2540CBFA" w14:textId="3615BB2C" w:rsidR="008C3259" w:rsidRPr="004A518F" w:rsidRDefault="008C3259" w:rsidP="0075461F">
      <w:pPr>
        <w:pStyle w:val="BodyText"/>
        <w:numPr>
          <w:ilvl w:val="0"/>
          <w:numId w:val="9"/>
        </w:numPr>
        <w:spacing w:after="0"/>
        <w:ind w:hanging="357"/>
      </w:pPr>
      <w:r w:rsidRPr="00AE4B3E">
        <w:t>;</w:t>
      </w:r>
      <w:r w:rsidR="00AE4B3E">
        <w:rPr>
          <w:strike/>
        </w:rPr>
        <w:t xml:space="preserve"> </w:t>
      </w:r>
      <w:bookmarkStart w:id="6" w:name="OLE_LINK1"/>
      <w:r w:rsidR="00AE4B3E">
        <w:rPr>
          <w:color w:val="616264"/>
        </w:rPr>
        <w:t>“Peşə təhsili haqqında” Azərbaycan Respublikasının 2018-ci il 24 aprel tarixli Qanunu </w:t>
      </w:r>
      <w:bookmarkEnd w:id="6"/>
    </w:p>
    <w:p w14:paraId="7DC6C6AD" w14:textId="7A4BCB62" w:rsidR="008C3259" w:rsidRPr="00A714C3" w:rsidRDefault="00046999" w:rsidP="0075461F">
      <w:pPr>
        <w:pStyle w:val="BodyText"/>
        <w:numPr>
          <w:ilvl w:val="0"/>
          <w:numId w:val="9"/>
        </w:numPr>
        <w:spacing w:after="0"/>
        <w:ind w:hanging="357"/>
      </w:pPr>
      <w:r>
        <w:t>“</w:t>
      </w:r>
      <w:r w:rsidR="008C3259" w:rsidRPr="00A714C3">
        <w:t xml:space="preserve">Azərbaycan Respublikasının </w:t>
      </w:r>
      <w:r w:rsidR="002E2E28">
        <w:t>ö</w:t>
      </w:r>
      <w:r w:rsidR="008C3259" w:rsidRPr="00A714C3">
        <w:t>mürboyu təhsil üzrə Milli Kvalifikasiyalar Çərçivəsi”nin təsdiq edilməsi barədə 18 iyul 2018-ci il tarixli qərar.</w:t>
      </w:r>
    </w:p>
    <w:p w14:paraId="4DC0DFEB" w14:textId="77777777" w:rsidR="008C3259" w:rsidRPr="00A714C3" w:rsidRDefault="008C3259" w:rsidP="00AC18F2">
      <w:pPr>
        <w:pStyle w:val="Heading3"/>
      </w:pPr>
      <w:r w:rsidRPr="00A714C3">
        <w:t>Əsas təşkilatçı müəssisə növləri</w:t>
      </w:r>
    </w:p>
    <w:p w14:paraId="738D05F9" w14:textId="7E31369E" w:rsidR="008C3259" w:rsidRPr="00A714C3" w:rsidRDefault="008C3259" w:rsidP="002C6E16">
      <w:pPr>
        <w:pStyle w:val="BodyText"/>
      </w:pPr>
      <w:r w:rsidRPr="00A714C3">
        <w:t xml:space="preserve">Formal peşə təhsili peşə təhsili mərkəzlərində, peşə məktəblərində və peşə liseylərində dövlətə məxsus və özəl peşə təhsili müəssisələri </w:t>
      </w:r>
      <w:r w:rsidR="007553CB">
        <w:t xml:space="preserve">tərəfindən </w:t>
      </w:r>
      <w:r w:rsidRPr="00A714C3">
        <w:t xml:space="preserve">təmin edilir. Qeyri-formal peşə təhsili dövlətə məxsus müəssisələr (məsələn, SOCAR, Azərişıq, Azərsu, Bakı metrosu, Sumqayıt Kimya Sənayesi </w:t>
      </w:r>
      <w:r w:rsidRPr="00A714C3">
        <w:lastRenderedPageBreak/>
        <w:t>Parkı və s.) və özəl şirkətlər tərəfindən təmin edilir. Dövlət Məşğulluq Xidməti Əmək və Əhalinin Sosial Müdafiəsi Nazirliyinin təlim mərkəzlərində işsiz şəxslər və işaxtaranlar üçün peşə təlimləri təşkil edir.</w:t>
      </w:r>
    </w:p>
    <w:p w14:paraId="042B0830" w14:textId="77777777" w:rsidR="008C3259" w:rsidRPr="00A714C3" w:rsidRDefault="008C3259" w:rsidP="00AC18F2">
      <w:pPr>
        <w:pStyle w:val="Heading3"/>
      </w:pPr>
      <w:r w:rsidRPr="00A714C3">
        <w:t>Əsas təminat/proqram növləri</w:t>
      </w:r>
    </w:p>
    <w:p w14:paraId="6820FC9C" w14:textId="449E86E3" w:rsidR="008C3259" w:rsidRPr="00A714C3" w:rsidRDefault="008C3259" w:rsidP="00C449F8">
      <w:pPr>
        <w:pStyle w:val="BodyText"/>
      </w:pPr>
      <w:r w:rsidRPr="00A714C3">
        <w:t>Azərbaycanda PTT əsasən məktəb əsaslıdır və iş dünyası ilə əlaqələrinin zəifliyi ilə xarakterizə olunur. Təhsil proqramlarına təhsilalanların praktika keçə biləcəyi müəssisələrdə staj təcrübəsi daxil olsa da, dərslərin çoxu məktəblərdə və ya təhsilalanların minimum praktiki təcrübə əldə etdiyi şirkətlərdə keçilir. Ölkə ərazisində çoxsaylı KOB-ların mövcudluğunu nəzərə alsaq, PTT məktəblərinin məzunları üçün ən ehtimal olunan iş yerləri bu müəssisələrdir. Bu KOB-ların çoxu yaxşı keyfiyyətli praktiki təlimin təmin edilməsi üçün tələb olunan potensial və resurslara malik deyil. Donorlar tərəfindən koordinasiya edilən layihələrin çoxu, o cümlədən Aİ layihələri yeni tərtib olunan kurrikulumlar çərçivəsində real şəraitdə öyrənmənin tətbiqini sınaqdan keçirir.</w:t>
      </w:r>
    </w:p>
    <w:p w14:paraId="7964266A" w14:textId="26D5C669" w:rsidR="008C3259" w:rsidRPr="00A714C3" w:rsidRDefault="008C3259" w:rsidP="00AC18F2">
      <w:pPr>
        <w:pStyle w:val="BodyText"/>
      </w:pPr>
      <w:r w:rsidRPr="00A714C3">
        <w:t xml:space="preserve">Azərbaycan Respublikasında peşə təhsili və təliminin inkişafına dair Strateji Yol Xəritəsi işagötürənlərlə tərəfdaşlığın peşə təhsili və təliminin daha yüksək səviyyəyə qaldırılması üçün vacib ilkin şərtlərdən biri olduğunu təsdiq edir və 2025-ci ilə qədər işəgötürənlərlə tərəfdaşlıqlar çərçivəsində 10 müxtəlif ixtisaslaşmış pilot peşə təhsili məktəbinin təsis edilməsini nəzərdə tutur. </w:t>
      </w:r>
    </w:p>
    <w:p w14:paraId="1222ADF1" w14:textId="66191477" w:rsidR="008C3259" w:rsidRPr="00A714C3" w:rsidRDefault="008C3259" w:rsidP="00AC18F2">
      <w:pPr>
        <w:pStyle w:val="Heading3"/>
      </w:pPr>
      <w:r w:rsidRPr="00A714C3">
        <w:t xml:space="preserve">ISCED səviyyələrinə </w:t>
      </w:r>
      <w:r w:rsidR="00B62679">
        <w:t xml:space="preserve"> uyğun</w:t>
      </w:r>
      <w:r w:rsidRPr="00A714C3">
        <w:t xml:space="preserve"> əsas kvalifikasiyalar</w:t>
      </w:r>
    </w:p>
    <w:p w14:paraId="5B701B6F" w14:textId="7438FA49" w:rsidR="008C3259" w:rsidRPr="00D532D8" w:rsidRDefault="008C3259" w:rsidP="004833B4">
      <w:pPr>
        <w:pStyle w:val="BodyText"/>
      </w:pPr>
      <w:r w:rsidRPr="00A714C3">
        <w:t>Mövcud PTT proqramları ISCED 2-4 səviyyələrində təmin edilir. İlk peşə təhsili 6 ay və 1 il arasında davam edir, nəticədə EQF 2,3 /ISCED 2 səviyyələrində diplom və ya şəhadətnamə əldə edilir. Texniki peşə təhsili 1-3 il arasında davam edir, nəticədə EQF 3, 4/ ISCED 2,3 səviyyələrində diplom və ya şəhadətnamə əldə edilir. Yüksək peşə təhsili 3 ildən (</w:t>
      </w:r>
      <w:r w:rsidR="00286FA1">
        <w:t>tam</w:t>
      </w:r>
      <w:r w:rsidR="00286FA1" w:rsidRPr="00A714C3">
        <w:t xml:space="preserve"> </w:t>
      </w:r>
      <w:r w:rsidRPr="00A714C3">
        <w:t>orta təhsilin tamamlanmasından sonra) 4 ilə (</w:t>
      </w:r>
      <w:r w:rsidR="000D54A3">
        <w:t xml:space="preserve">ümumi orta </w:t>
      </w:r>
      <w:r w:rsidRPr="00A714C3">
        <w:t xml:space="preserve">təhsil tamamlandıqdan sonra) qədər davam edir, EQF 5/ ISCED 4 səviyyələrində </w:t>
      </w:r>
      <w:r w:rsidRPr="00C469ED">
        <w:t xml:space="preserve"> </w:t>
      </w:r>
      <w:r w:rsidR="00C469ED">
        <w:t xml:space="preserve">sertifikat </w:t>
      </w:r>
      <w:r w:rsidRPr="00A714C3">
        <w:t>və ya subbakalavr diplomu əldə edilir.</w:t>
      </w:r>
      <w:r w:rsidR="007D7DF1">
        <w:t xml:space="preserve"> </w:t>
      </w:r>
    </w:p>
    <w:p w14:paraId="096D38B3" w14:textId="3EF995CB" w:rsidR="008C3259" w:rsidRPr="00A714C3" w:rsidRDefault="008C3259" w:rsidP="0075461F">
      <w:pPr>
        <w:pStyle w:val="Heading1"/>
        <w:numPr>
          <w:ilvl w:val="0"/>
          <w:numId w:val="12"/>
        </w:numPr>
        <w:spacing w:before="0"/>
        <w:ind w:left="709" w:hanging="709"/>
      </w:pPr>
      <w:bookmarkStart w:id="7" w:name="_Toc90370737"/>
      <w:r w:rsidRPr="00A714C3">
        <w:t>PEŞƏ TƏHSİLİ VƏ TƏLİMİNDƏ KEYFİYYƏT TƏMİNATI</w:t>
      </w:r>
      <w:bookmarkEnd w:id="7"/>
    </w:p>
    <w:p w14:paraId="3E24EA31" w14:textId="766657D2" w:rsidR="008C3259" w:rsidRPr="00A714C3" w:rsidRDefault="007D6989" w:rsidP="00A154E3">
      <w:pPr>
        <w:pStyle w:val="Heading2"/>
        <w:numPr>
          <w:ilvl w:val="1"/>
          <w:numId w:val="14"/>
        </w:numPr>
        <w:ind w:left="709" w:hanging="709"/>
      </w:pPr>
      <w:bookmarkStart w:id="8" w:name="_Toc90370738"/>
      <w:r w:rsidRPr="00A714C3">
        <w:t>Xülasə</w:t>
      </w:r>
      <w:bookmarkEnd w:id="8"/>
    </w:p>
    <w:p w14:paraId="2939385D" w14:textId="6F0C63E2" w:rsidR="008C3259" w:rsidRPr="00A714C3" w:rsidRDefault="008C3259" w:rsidP="00A77F46">
      <w:pPr>
        <w:pStyle w:val="BodyText"/>
      </w:pPr>
      <w:r w:rsidRPr="00A714C3">
        <w:t>2016-cı ildə təsdiq edilən Peşə təhsili və təliminin inkişafına dair Strateji Yol Xəritəsində PTT keyfiyyəti ilə əlaqədar bir sıra problemlər müəyyən edil</w:t>
      </w:r>
      <w:r w:rsidR="000946DB">
        <w:t>mişd</w:t>
      </w:r>
      <w:r w:rsidRPr="00A714C3">
        <w:t>ir, məsələn, normativ-hüquqi bazanın çevik olmaması, təhsil proqramlarının və resurslarının müasir tələblərə cavab verməməsi, fəaliyyətin qiymətləndirilməsi və monitorinqi</w:t>
      </w:r>
      <w:r w:rsidR="0036099B">
        <w:t>nin zəif mexanizmləri</w:t>
      </w:r>
      <w:r w:rsidRPr="00A714C3">
        <w:t>, insanların peşə təhsilinə mənfi münasibəti. Ölkə PTT-də keyfiyyət təminatı sisteminin komponentlərini icra edir və son zamanlarda əhəmiyyətli irəliləyişə nail olmuşdur.</w:t>
      </w:r>
    </w:p>
    <w:p w14:paraId="1334041B" w14:textId="130C0AA2" w:rsidR="008C3259" w:rsidRPr="00A714C3" w:rsidRDefault="002140DF" w:rsidP="00A77F46">
      <w:pPr>
        <w:pStyle w:val="BodyText"/>
      </w:pPr>
      <w:r w:rsidRPr="00A714C3">
        <w:t xml:space="preserve">Təhsil haqqında qanuna əsasən təhsilin keyfiyyət səviyyəsi dövlət təhsil standartları əsasında təhsil pillələri üzrə müvafiq keyfiyyət göstəriciləri sisteminə (təhsil proqramları, </w:t>
      </w:r>
      <w:r w:rsidR="00A42522">
        <w:t xml:space="preserve">məzunların təlim nəticələri </w:t>
      </w:r>
      <w:r w:rsidRPr="00A714C3">
        <w:t xml:space="preserve">, maddi-texniki baza, infrastruktur, </w:t>
      </w:r>
      <w:r w:rsidR="00A42522">
        <w:t>təlim keyfiyyə</w:t>
      </w:r>
      <w:r w:rsidR="003D07A4">
        <w:t>ti</w:t>
      </w:r>
      <w:r w:rsidR="00A42522">
        <w:t xml:space="preserve"> </w:t>
      </w:r>
      <w:r w:rsidRPr="00DE07B7">
        <w:t>təhsilverənlərin peşəkarlığı və elmi-pedaqoji səviyyəsi</w:t>
      </w:r>
      <w:r w:rsidRPr="00A714C3">
        <w:t xml:space="preserve"> və s.) uyğun olaraq müəyyən edilir. Peşə təhsili haqqında qanun PTT üçün aşağıdakı keyfiyyət mexanizmlərini müəyyən edir</w:t>
      </w:r>
      <w:r w:rsidR="008C3259" w:rsidRPr="00A714C3">
        <w:rPr>
          <w:rStyle w:val="FootnoteReference"/>
          <w:rFonts w:ascii="Verdana" w:hAnsi="Verdana"/>
          <w:color w:val="000000"/>
          <w:lang w:val="en-GB"/>
        </w:rPr>
        <w:footnoteReference w:id="3"/>
      </w:r>
      <w:r w:rsidRPr="00A714C3">
        <w:t>:</w:t>
      </w:r>
    </w:p>
    <w:p w14:paraId="4D8E3BC0" w14:textId="4FEA0BA0" w:rsidR="008C3259" w:rsidRPr="00A714C3" w:rsidRDefault="00B42E22" w:rsidP="0075461F">
      <w:pPr>
        <w:pStyle w:val="BodyText"/>
        <w:numPr>
          <w:ilvl w:val="0"/>
          <w:numId w:val="10"/>
        </w:numPr>
        <w:spacing w:after="0"/>
        <w:ind w:left="357" w:hanging="357"/>
      </w:pPr>
      <w:r w:rsidRPr="00A714C3">
        <w:lastRenderedPageBreak/>
        <w:t xml:space="preserve">Təhsil pilləsinin məzmununu, idarə olunmasını, maddi-texniki bazasını, infrastrukturunu, təhsilverənlərin ölçülə bilən keyfiyyət göstəricilərini, təhsilalanların bilik, bacarıq və vərdişlərinin səviyyəsini </w:t>
      </w:r>
      <w:r w:rsidR="00883F5C">
        <w:t xml:space="preserve">peşə təhsilinin hər bir səviyyəsində </w:t>
      </w:r>
      <w:r w:rsidRPr="00A714C3">
        <w:t>müəyyən edən dövlət standartları;</w:t>
      </w:r>
    </w:p>
    <w:p w14:paraId="64971A93" w14:textId="730C2055" w:rsidR="008C3259" w:rsidRPr="00A714C3" w:rsidRDefault="008C3259" w:rsidP="0075461F">
      <w:pPr>
        <w:pStyle w:val="BodyText"/>
        <w:numPr>
          <w:ilvl w:val="0"/>
          <w:numId w:val="10"/>
        </w:numPr>
        <w:spacing w:after="0"/>
        <w:ind w:left="357" w:hanging="357"/>
      </w:pPr>
      <w:r w:rsidRPr="00A714C3">
        <w:t xml:space="preserve">peşə təhsili müəssisələrinin </w:t>
      </w:r>
      <w:r w:rsidR="00F268C6">
        <w:t xml:space="preserve">fəaliyyətinin </w:t>
      </w:r>
      <w:r w:rsidRPr="00A714C3">
        <w:t>lisenziyalaşdırılması və akkreditasiyası.</w:t>
      </w:r>
    </w:p>
    <w:p w14:paraId="17DFAAF1" w14:textId="2B44F0BC" w:rsidR="008C3259" w:rsidRPr="00A714C3" w:rsidRDefault="008C3259" w:rsidP="00BC2F1C">
      <w:pPr>
        <w:pStyle w:val="BodyText"/>
        <w:spacing w:before="120"/>
      </w:pPr>
      <w:r w:rsidRPr="00A714C3">
        <w:t xml:space="preserve">2019-cu ildə başqa funksiyaları ilə yanaşı təhsil müəssisələrinin akkreditasiya proseslərini idarə etmək məqsədilə xüsusi </w:t>
      </w:r>
      <w:r w:rsidR="0038675A">
        <w:t xml:space="preserve">qurum </w:t>
      </w:r>
      <w:r w:rsidRPr="00A714C3">
        <w:t>- Təhsildə Keyfiyyət Təminatı Agentliyi təsis edildi. Onun fəaliyyət istiqamətlərinə həmçinin təhsil müəssisələrində daxili keyfiyyət təminatı sistemlərinin qurulması və inkişaf etdirilməsi üçün məsləhət və metodiki dəstək xidmətləri təşkil etmək daxildir.</w:t>
      </w:r>
    </w:p>
    <w:p w14:paraId="6D772BE7" w14:textId="2E699ADD" w:rsidR="008C3259" w:rsidRPr="00A714C3" w:rsidRDefault="008C3259" w:rsidP="00A77F46">
      <w:pPr>
        <w:pStyle w:val="BodyText"/>
      </w:pPr>
      <w:r w:rsidRPr="00A714C3">
        <w:t xml:space="preserve">2018-ci ildə Azərbaycan rəsmi olaraq ümumi, peşə, ali və əlavə təhsil üzrə kvalifikasiyaları əhatə edən 8 səviyyəli Milli kvalifikasiyalar çərçivəsini (MKÇ) qəbul etdi. MKÇ-nin məqsədlərindən biri kvalifikasiyalarla əlaqədar </w:t>
      </w:r>
      <w:r w:rsidR="009B1347">
        <w:t xml:space="preserve">təlim </w:t>
      </w:r>
      <w:r w:rsidRPr="00A714C3">
        <w:t>nəticələrinin təkmilləşdirilməsidir.</w:t>
      </w:r>
    </w:p>
    <w:p w14:paraId="0A6A5654" w14:textId="5328FD3F" w:rsidR="008C3259" w:rsidRPr="00A714C3" w:rsidRDefault="009B6656" w:rsidP="00A154E3">
      <w:pPr>
        <w:pStyle w:val="Heading2"/>
        <w:numPr>
          <w:ilvl w:val="1"/>
          <w:numId w:val="14"/>
        </w:numPr>
        <w:ind w:left="709" w:hanging="709"/>
      </w:pPr>
      <w:bookmarkStart w:id="9" w:name="_Toc90370739"/>
      <w:r w:rsidRPr="00A714C3">
        <w:t>PTT sistemi səviyyəsində keyfiyyət təminatı haqqında ümumi məlumat</w:t>
      </w:r>
      <w:bookmarkEnd w:id="9"/>
    </w:p>
    <w:p w14:paraId="2C7E9302" w14:textId="2466E10F" w:rsidR="008C3259" w:rsidRPr="00A714C3" w:rsidRDefault="008C3259" w:rsidP="00A77F46">
      <w:pPr>
        <w:pStyle w:val="BodyText"/>
      </w:pPr>
      <w:r w:rsidRPr="00A714C3">
        <w:t>Təhsil</w:t>
      </w:r>
      <w:r w:rsidR="007F35AA">
        <w:t>də</w:t>
      </w:r>
      <w:r w:rsidRPr="00A714C3">
        <w:t xml:space="preserve"> keyfiyyətin təmin edilməsi siyasətinə görə ümumi cavabdehlik Təhsil Nazirliyinin üzərinə düşür.</w:t>
      </w:r>
    </w:p>
    <w:p w14:paraId="0EDA79F0" w14:textId="5C66E5B0" w:rsidR="008C3259" w:rsidRPr="00A714C3" w:rsidRDefault="00C323F1" w:rsidP="00A77F46">
      <w:pPr>
        <w:pStyle w:val="BodyText"/>
      </w:pPr>
      <w:r w:rsidRPr="00A714C3">
        <w:t xml:space="preserve">Peşə Təhsili üzrə Dövlət Agentliyi və onun Peşə təhsili müəssisələrinin idarə edilməsi, keyfiyyətin təminatı və monitorinq şöbəsi </w:t>
      </w:r>
      <w:r w:rsidR="0087390C">
        <w:t xml:space="preserve">PTT-də </w:t>
      </w:r>
      <w:r w:rsidRPr="00A714C3">
        <w:t>keyfiyyət təminatının ümumi idarəçil</w:t>
      </w:r>
      <w:r w:rsidR="001B3E29">
        <w:t>i</w:t>
      </w:r>
      <w:r w:rsidRPr="00A714C3">
        <w:t>yinə cavabdehdir.</w:t>
      </w:r>
    </w:p>
    <w:p w14:paraId="6E84A73A" w14:textId="6A8C3D31" w:rsidR="008C3259" w:rsidRPr="00A714C3" w:rsidRDefault="00C323F1" w:rsidP="00A77F46">
      <w:pPr>
        <w:pStyle w:val="BodyText"/>
      </w:pPr>
      <w:r w:rsidRPr="00A714C3">
        <w:t>Təhsil Nazirliyi yanında Təhsildə Keyfiyyət Təminatı Agentliyi bütün təhsil müəssisələrinin akkreditasiyası, eləcə də təhsil müəssisələrində daxili keyfiyyət təminatı sistemlərinin qurulması və inkişaf etdirilməsi ilə əlaqədar məsləhət və metodik dəstək xidmətlərinin təşkili, təhsil müəssisələrinin daxili keyfiyyət təminatı sistemlərinin fəaliyyətinin qiymətləndirilməsi və onların təkmiləşdirilməsi üçün tövsiyələrin təmin edilməsinə cavabdehdir. Peşə təhsili müəssisələri öz daxili keyfiyyət təminatlarını dövlət təhsil standartları əsasında təşkil edirlər.</w:t>
      </w:r>
    </w:p>
    <w:p w14:paraId="7210615D" w14:textId="2570110B" w:rsidR="008C3259" w:rsidRPr="00A714C3" w:rsidRDefault="008C3259" w:rsidP="00A77F46">
      <w:pPr>
        <w:pStyle w:val="BodyText"/>
      </w:pPr>
      <w:r w:rsidRPr="00A714C3">
        <w:t>Dövlət İmtahan Mərkəzi ümumi təhsil müəssisələrində təhsil alan şagirdlərin yekun qiymətləndirməsini (attestasiyasını) həyata keçirir, şagirdlərin orta peşə təhsili müəssisələrinə və ali təhsil müəssisələrinə qəbul edilməsini təşkil edir. O həmçinin dövlət qulluğunda işə qəbul və işin davam etdirilməsi üçün imtahanlar keçirir</w:t>
      </w:r>
      <w:r w:rsidRPr="00A714C3">
        <w:rPr>
          <w:rStyle w:val="FootnoteReference"/>
          <w:rFonts w:ascii="Verdana" w:hAnsi="Verdana"/>
          <w:color w:val="000000"/>
          <w:lang w:val="en-GB"/>
        </w:rPr>
        <w:footnoteReference w:id="4"/>
      </w:r>
    </w:p>
    <w:p w14:paraId="79743261" w14:textId="77777777" w:rsidR="008C3259" w:rsidRPr="00A714C3" w:rsidRDefault="008C3259" w:rsidP="00A77F46">
      <w:pPr>
        <w:pStyle w:val="BodyText"/>
      </w:pPr>
      <w:r w:rsidRPr="00A714C3">
        <w:t>PTT-də keyfiyyət təminatı ilə əlaqədar qanunvericilik:</w:t>
      </w:r>
    </w:p>
    <w:p w14:paraId="245FA57F" w14:textId="6D097803" w:rsidR="005566FB" w:rsidRPr="00A714C3" w:rsidRDefault="008C3259" w:rsidP="00A94867">
      <w:pPr>
        <w:pStyle w:val="BodyText"/>
        <w:numPr>
          <w:ilvl w:val="0"/>
          <w:numId w:val="9"/>
        </w:numPr>
        <w:spacing w:after="0"/>
        <w:ind w:hanging="357"/>
      </w:pPr>
      <w:r w:rsidRPr="00A714C3">
        <w:t>;</w:t>
      </w:r>
      <w:r w:rsidR="005566FB" w:rsidRPr="005566FB">
        <w:rPr>
          <w:color w:val="616264"/>
          <w:shd w:val="clear" w:color="auto" w:fill="FFFFFF"/>
        </w:rPr>
        <w:t>“Təhsil haqqınd</w:t>
      </w:r>
      <w:r w:rsidR="005566FB" w:rsidRPr="002B1A00">
        <w:rPr>
          <w:color w:val="616264"/>
          <w:shd w:val="clear" w:color="auto" w:fill="FFFFFF"/>
        </w:rPr>
        <w:t>a” Azərbaycan Respublikasının 2009-cu il 19 iyun tarixli Qanunu</w:t>
      </w:r>
      <w:r w:rsidR="005566FB" w:rsidRPr="002B1A00">
        <w:rPr>
          <w:strike/>
        </w:rPr>
        <w:t xml:space="preserve">    </w:t>
      </w:r>
    </w:p>
    <w:p w14:paraId="7CD65097" w14:textId="49ED2BDB" w:rsidR="008C3259" w:rsidRPr="00A714C3" w:rsidRDefault="008C3259" w:rsidP="0075461F">
      <w:pPr>
        <w:pStyle w:val="BodyText"/>
        <w:numPr>
          <w:ilvl w:val="0"/>
          <w:numId w:val="11"/>
        </w:numPr>
        <w:spacing w:after="0"/>
        <w:ind w:left="357" w:hanging="357"/>
      </w:pPr>
      <w:r w:rsidRPr="002B1A00">
        <w:t>;</w:t>
      </w:r>
      <w:r w:rsidR="002B1A00" w:rsidRPr="002B1A00">
        <w:rPr>
          <w:color w:val="616264"/>
        </w:rPr>
        <w:t xml:space="preserve"> </w:t>
      </w:r>
      <w:r w:rsidR="002B1A00">
        <w:rPr>
          <w:color w:val="616264"/>
        </w:rPr>
        <w:t>“Peşə təhsili haqqında” Azərbaycan Respublikasının 2018-ci il 24 aprel tarixli Qanunu </w:t>
      </w:r>
    </w:p>
    <w:p w14:paraId="44DE9CFA" w14:textId="2005744E" w:rsidR="008C3259" w:rsidRPr="00A714C3" w:rsidRDefault="008C3259" w:rsidP="0075461F">
      <w:pPr>
        <w:pStyle w:val="BodyText"/>
        <w:numPr>
          <w:ilvl w:val="0"/>
          <w:numId w:val="11"/>
        </w:numPr>
        <w:spacing w:after="0"/>
        <w:ind w:left="357" w:hanging="357"/>
      </w:pPr>
      <w:r w:rsidRPr="00A714C3">
        <w:t xml:space="preserve">13 mart 2019-cu il tarixində qəbul edilən </w:t>
      </w:r>
      <w:r w:rsidR="009062D5">
        <w:t>“</w:t>
      </w:r>
      <w:r w:rsidRPr="00A714C3">
        <w:t>Peşə təhsili pilləsində təhsilalanların attestasiyasının aparılması Qaydası</w:t>
      </w:r>
      <w:r w:rsidR="009062D5">
        <w:t>”</w:t>
      </w:r>
      <w:r w:rsidRPr="00A714C3">
        <w:t>;</w:t>
      </w:r>
    </w:p>
    <w:p w14:paraId="2B3900DB" w14:textId="1EB719ED" w:rsidR="008C3259" w:rsidRPr="00A714C3" w:rsidRDefault="008C3259" w:rsidP="0075461F">
      <w:pPr>
        <w:pStyle w:val="BodyText"/>
        <w:numPr>
          <w:ilvl w:val="0"/>
          <w:numId w:val="11"/>
        </w:numPr>
        <w:spacing w:after="0"/>
        <w:ind w:left="357" w:hanging="357"/>
      </w:pPr>
      <w:r w:rsidRPr="00A714C3">
        <w:t xml:space="preserve">28 sentyabr 2010-cu il tarixində qəbul edilən </w:t>
      </w:r>
      <w:r w:rsidR="00887D62">
        <w:t>“</w:t>
      </w:r>
      <w:r w:rsidRPr="00A714C3">
        <w:t>Təhsil müəssisələrinin akkreditasiyası Qaydaları</w:t>
      </w:r>
      <w:r w:rsidR="00887D62">
        <w:t>”</w:t>
      </w:r>
      <w:r w:rsidRPr="00A714C3">
        <w:t xml:space="preserve">; </w:t>
      </w:r>
    </w:p>
    <w:p w14:paraId="17AABE42" w14:textId="67DEEF87" w:rsidR="008C3259" w:rsidRPr="00A714C3" w:rsidRDefault="00680023" w:rsidP="0075461F">
      <w:pPr>
        <w:pStyle w:val="BodyText"/>
        <w:numPr>
          <w:ilvl w:val="0"/>
          <w:numId w:val="11"/>
        </w:numPr>
        <w:spacing w:after="0"/>
        <w:ind w:left="357" w:hanging="357"/>
      </w:pPr>
      <w:r>
        <w:t>“</w:t>
      </w:r>
      <w:r w:rsidR="008C3259" w:rsidRPr="00A714C3">
        <w:t>Ömürboyu təhsil üzrə Milli Kvalifikasiyalar Çərçivəsi”nin təsdiq edilməsi barədə 18 iyul 2018-ci il tarixli qərar.</w:t>
      </w:r>
    </w:p>
    <w:p w14:paraId="0E040D67" w14:textId="5C2E5A56" w:rsidR="008C3259" w:rsidRPr="00A714C3" w:rsidRDefault="007076F4" w:rsidP="00A154E3">
      <w:pPr>
        <w:pStyle w:val="Heading2"/>
        <w:numPr>
          <w:ilvl w:val="1"/>
          <w:numId w:val="14"/>
        </w:numPr>
        <w:ind w:left="709" w:hanging="709"/>
      </w:pPr>
      <w:bookmarkStart w:id="10" w:name="_Toc90370740"/>
      <w:r w:rsidRPr="00A714C3">
        <w:lastRenderedPageBreak/>
        <w:t>Əsas PTT sahələrində keyfiyyət təminatı</w:t>
      </w:r>
      <w:bookmarkEnd w:id="10"/>
    </w:p>
    <w:p w14:paraId="54238763" w14:textId="5CFBADC1" w:rsidR="008C3259" w:rsidRPr="00A714C3" w:rsidRDefault="007076F4" w:rsidP="00680A76">
      <w:pPr>
        <w:pStyle w:val="Heading3"/>
      </w:pPr>
      <w:r w:rsidRPr="00A714C3">
        <w:t>Dəlillər – Statistika, araşdırma və inkişaf</w:t>
      </w:r>
    </w:p>
    <w:p w14:paraId="156ACF80" w14:textId="7E05604F" w:rsidR="008C3259" w:rsidRPr="00A714C3" w:rsidRDefault="002662D1" w:rsidP="00AB0D45">
      <w:pPr>
        <w:pStyle w:val="BodyText"/>
      </w:pPr>
      <w:r w:rsidRPr="00A714C3">
        <w:t>Peşə təhsili və təliminin inkişafına dair Strateji Yol Xəritəsində peşə təhsili məktəblərinin fəaliyyətlərinin qiymətləndirilməsi və monitorinqi üçün mütərəqqi mexanizmin olmaması PTT sistemindəki əsas</w:t>
      </w:r>
      <w:r w:rsidR="00587ADF">
        <w:t xml:space="preserve"> </w:t>
      </w:r>
      <w:r w:rsidR="00E536B0">
        <w:t>problemlərdən</w:t>
      </w:r>
      <w:r w:rsidRPr="00A714C3">
        <w:t xml:space="preserve"> biri kimi müəyyən </w:t>
      </w:r>
      <w:r w:rsidR="009E632B">
        <w:t xml:space="preserve">edilmişdir </w:t>
      </w:r>
      <w:r w:rsidRPr="00A714C3">
        <w:t>. Məktəblərə qəbul haqqında inzibati məlumatlar mövcud olsa da, PTT ilə əlaqədar sorğu məlumatları, uzunmüddətli təhlillər çatışmır.</w:t>
      </w:r>
    </w:p>
    <w:p w14:paraId="4F01BF4D" w14:textId="4D22D8C8" w:rsidR="008C3259" w:rsidRPr="00A714C3" w:rsidRDefault="00EE5270" w:rsidP="00AB0D45">
      <w:pPr>
        <w:pStyle w:val="BodyText"/>
      </w:pPr>
      <w:r>
        <w:rPr>
          <w:color w:val="616264"/>
          <w:shd w:val="clear" w:color="auto" w:fill="FFFFFF"/>
        </w:rPr>
        <w:t>Əmək və Əhalinin Sosial Müdafiəsi Nazirliyi tabeliyində </w:t>
      </w:r>
      <w:r w:rsidR="008C3259" w:rsidRPr="00A714C3">
        <w:t>Əmək Bazarı və Sosial Müdafiə Məsələləri üzrə Milli Observatoriya 2020-ci ildə effektiv qərarların qəbul edilməsi üçün əmək bazarının cari vəziyyətinin təhlil edilməsi məqsədilə təsis edilmişdir. Onun fəaliyyət istiqamətlərinə zəruri bacarıqların təhlili, proqnozlaşdırılması, məzunların təhsildən əmək bazarına keçidi daxildir.</w:t>
      </w:r>
    </w:p>
    <w:p w14:paraId="5F82D46F" w14:textId="4F8D2D5C" w:rsidR="008C3259" w:rsidRPr="00A714C3" w:rsidRDefault="008C3259" w:rsidP="00680A76">
      <w:pPr>
        <w:pStyle w:val="BodyText"/>
      </w:pPr>
      <w:r w:rsidRPr="00A714C3">
        <w:t>“Azərbaycanda peşə təhsili və təliminin inkişafına Aİ-nin dəstəyi” adlı Aİ texniki yardım layihəsi nəticəsində PTT idarəetmə məlumatları sistemi konsepsiyası formalaşdırılmışdır. Həmçinin PTT-də monitorinq və qiymətləndirmə sistemi üçün konsepsiya və bir sıra göstəricilər müəyyən edilmişdir. Lakin bu sistemlər hələ istismar edilməyə başlamayıb - məqsəd bütövlükdə təhsil sektoru üçün milli sistemlərin yaradılmasıdır.</w:t>
      </w:r>
      <w:r w:rsidRPr="00A714C3">
        <w:rPr>
          <w:rStyle w:val="FootnoteReference"/>
          <w:rFonts w:ascii="Verdana" w:hAnsi="Verdana"/>
          <w:color w:val="000000"/>
          <w:lang w:val="en-GB"/>
        </w:rPr>
        <w:footnoteReference w:id="5"/>
      </w:r>
    </w:p>
    <w:p w14:paraId="1A55C46B" w14:textId="6A61F6F4" w:rsidR="008C3259" w:rsidRPr="00A714C3" w:rsidRDefault="00680A76" w:rsidP="00680A76">
      <w:pPr>
        <w:pStyle w:val="Heading3"/>
        <w:rPr>
          <w:rFonts w:eastAsia="Calibri" w:cs="pd∏Tˇ"/>
        </w:rPr>
      </w:pPr>
      <w:r w:rsidRPr="00A714C3">
        <w:t>Keyfiyyət təminatı və kvalifikasiya dövrləri</w:t>
      </w:r>
    </w:p>
    <w:p w14:paraId="675CF211" w14:textId="761209AC" w:rsidR="008C3259" w:rsidRPr="00A714C3" w:rsidRDefault="008C3259" w:rsidP="00AB0D45">
      <w:pPr>
        <w:pStyle w:val="BodyText"/>
      </w:pPr>
      <w:r w:rsidRPr="00A714C3">
        <w:t>2018-ci ildə qəbul edilmiş MKÇ-nin məqsədlərindən biri də kvalifikasiyalarının keyfiyyətini və şəffaflığını yüksəltməkdir. Sənəddə deyilir: “bütün kvalifikasiyaların keyfiyyəti təmin olunur və keyfiyyətin təmin edilməsi bütün müvafiq prosesləri - gözlənilən təlim nəticələrinin təsvirini, hər bir şəxsin təlim nailiyyətlərinin qiymətləndirilməsini və təsdiq olunmasını özündə ehtiva edir”.</w:t>
      </w:r>
    </w:p>
    <w:p w14:paraId="73BF7507" w14:textId="2D09F0DD" w:rsidR="008C3259" w:rsidRPr="00A714C3" w:rsidRDefault="008C3259" w:rsidP="00AB0D45">
      <w:pPr>
        <w:pStyle w:val="BodyText"/>
      </w:pPr>
      <w:r w:rsidRPr="00A714C3">
        <w:t xml:space="preserve">Milli səviyyədə keyfiyyət təminatı təhsil standartları ilə tənzimlənir. 2019-cu ilin mart ayında “Peşə təhsilinin dövlət standartı” qəbul edilmişdir </w:t>
      </w:r>
      <w:r w:rsidRPr="00A714C3">
        <w:rPr>
          <w:rStyle w:val="FootnoteReference"/>
          <w:rFonts w:ascii="Verdana" w:hAnsi="Verdana"/>
          <w:color w:val="000000"/>
          <w:lang w:val="en-GB"/>
        </w:rPr>
        <w:footnoteReference w:id="6"/>
      </w:r>
      <w:r w:rsidRPr="00A714C3">
        <w:t xml:space="preserve"> Standart təhsilalanların öyrənmələri gözlənilən bilik, bacarıq və vərdişləri müəyyən edir. O, təhsilverənlər, təlim infrastrukturları və təlim materiallarına münasibətdə  tələbləri və təhsilin məzmununu müəyyən edir. Standart kurrikulumun modul strukturlu olmasını təmin edir. Standarta həmçinin ömürboyu təhsilin yerli şəraitə uyğunlaşdırılmış səkkiz əsas keyfiyyət göstəricisi daxildir.</w:t>
      </w:r>
    </w:p>
    <w:p w14:paraId="12F97B3E" w14:textId="46E1797B" w:rsidR="008C3259" w:rsidRPr="00A714C3" w:rsidRDefault="008C3259" w:rsidP="00AB0D45">
      <w:pPr>
        <w:pStyle w:val="BodyText"/>
      </w:pPr>
      <w:r w:rsidRPr="00A714C3">
        <w:t>Bundan əlavə, qüvvədə olan normativ baza kvalifikasiya standartlarından paralel istifadəni nəzərdə tutur. Kvalifikasiyaların təsviri və hazırlanması prosesinin səmərəli, üs-üstə düşmələrdən</w:t>
      </w:r>
      <w:r w:rsidR="00FD7E05">
        <w:t xml:space="preserve"> azad</w:t>
      </w:r>
      <w:r w:rsidRPr="00A714C3">
        <w:t xml:space="preserve"> olmasının təmin edilməsi məqsədilə kvalifikasiya standartları ilə təhsil standartları arasında əlaqənin dəqiqləşdirilməsinə ehtiyac var.</w:t>
      </w:r>
    </w:p>
    <w:p w14:paraId="07F9AA01" w14:textId="5BC4541D" w:rsidR="008C3259" w:rsidRPr="00A714C3" w:rsidRDefault="008C3259" w:rsidP="00AB0D45">
      <w:pPr>
        <w:pStyle w:val="BodyText"/>
      </w:pPr>
      <w:r w:rsidRPr="00A714C3">
        <w:t>Hazırda TN təhsil standartları</w:t>
      </w:r>
      <w:r w:rsidR="001D5220">
        <w:t>nı</w:t>
      </w:r>
      <w:r w:rsidRPr="00A714C3">
        <w:t xml:space="preserve"> qəbul edir, ƏƏSMN isə peşə və kvalifikasiya standartlarının hazırlanmasına nəzarət edir. Kvalifikasiyaların uyğunluğu sektor komitələri tərəfindən hazırlanan peşə standartlarından istifadə edilməklə təmin edilir. Peşə və kvalifikasiya standartlarının hazırlanma və qeydiyyat qaydaları sektor komitələrini dövlət agentlikləri, təhsil və təlim təşkilatçıları, həmkarlar ittifaqları və işəgötürənlər təşkilatları ilə əməkdaşlıq üçün əlverişli modellə təmin edir. Kvalifikasiya </w:t>
      </w:r>
      <w:r w:rsidRPr="00A714C3">
        <w:lastRenderedPageBreak/>
        <w:t>standartlarına əsas, ümumi və spesifik səriştələr daxildir. Bu günə qədər yüzlərlə peşə standartı hazırlanıb. Onlarla ƏƏSMN-nin veb-saytında tanış olmaq mümkündür</w:t>
      </w:r>
      <w:r w:rsidRPr="00A714C3">
        <w:rPr>
          <w:rStyle w:val="FootnoteReference"/>
          <w:rFonts w:ascii="Verdana" w:hAnsi="Verdana"/>
          <w:color w:val="000000"/>
          <w:lang w:val="en-GB"/>
        </w:rPr>
        <w:footnoteReference w:id="7"/>
      </w:r>
      <w:r w:rsidRPr="00A714C3">
        <w:t>.</w:t>
      </w:r>
    </w:p>
    <w:p w14:paraId="2049147E" w14:textId="64B71466" w:rsidR="008C3259" w:rsidRPr="00A714C3" w:rsidRDefault="008C3259" w:rsidP="00680A76">
      <w:pPr>
        <w:pStyle w:val="BodyText"/>
      </w:pPr>
      <w:r w:rsidRPr="00A714C3">
        <w:t xml:space="preserve">Aİ-nin “Azərbaycanda Milli Kvalifikasiya Çərçivəsinin icrasına dəstək” layihəsi nəticəsində kvalifikasiyaların keyfiyyətinin yüksəldilməsi məqsədilə bir sıra metodik vasitələr və təlimat vasitələri hazırlanmışdır. Peşə xəritələrinin hazırlanması metodikası, peşə standartlarından təhsil standartlarının hazırlanması üçün təlimat, Kvalifikasiya standartlarından təhsil proqramlarının hazırlanması üçün təlimat materialları, Qeyri-formal və informal </w:t>
      </w:r>
      <w:r w:rsidR="00284DD5">
        <w:t xml:space="preserve">təhsilin </w:t>
      </w:r>
      <w:r w:rsidRPr="00A714C3">
        <w:t>tanınması üçün təlimat, QFİTT üçün KT daxil olmaqla qiymətləndirmə və sertifikatlaşdırma proseslərinin daxili və xarici keyfiyyət təminatı üçün təlimat.</w:t>
      </w:r>
    </w:p>
    <w:p w14:paraId="6092A9BF" w14:textId="2BB73363" w:rsidR="008C3259" w:rsidRPr="00A714C3" w:rsidRDefault="00680A76" w:rsidP="009943BE">
      <w:pPr>
        <w:pStyle w:val="Heading3"/>
      </w:pPr>
      <w:r w:rsidRPr="00A714C3">
        <w:t>Keyfiyyət təminatı və PTT təminatçısı/təşkilatçısı olan müəssisələr</w:t>
      </w:r>
    </w:p>
    <w:p w14:paraId="7586E710" w14:textId="4D5FB83D" w:rsidR="008C3259" w:rsidRPr="00A714C3" w:rsidRDefault="008C3259" w:rsidP="00AB0D45">
      <w:pPr>
        <w:pStyle w:val="BodyText"/>
      </w:pPr>
      <w:r w:rsidRPr="00A714C3">
        <w:t>Xarici keyfiyyət təminatı mexanizmləri Təhsil müəssisələrinin akkreditasiya qaydaları (28 sentyabr 2010-cu il tarixli) əsasında tənzimlənir</w:t>
      </w:r>
      <w:r w:rsidRPr="00A714C3">
        <w:rPr>
          <w:rStyle w:val="FootnoteReference"/>
          <w:rFonts w:ascii="Verdana" w:hAnsi="Verdana"/>
          <w:color w:val="000000"/>
          <w:lang w:val="en-GB"/>
        </w:rPr>
        <w:footnoteReference w:id="8"/>
      </w:r>
      <w:r w:rsidRPr="00A714C3">
        <w:t xml:space="preserve">. Peşə təhsili müəssisələri 5 ildə bir dəfə akkreditasiya edilirlər. Qaydalara əsasən, təhsil müəssisəsinin akkrediyasiyasında məqsəd təhsilin təşkili prosesinin, maddi-texniki bazanın, kurrikulumların, işçi heyəti potensialının, maliyyə resurslarının və təhsil infrastrukturunun dövlət təhsil standartları və başqa normativ-hüquqi aktlara uyğunluğunun müəyyən edilməsidir. </w:t>
      </w:r>
    </w:p>
    <w:p w14:paraId="535B597B" w14:textId="5F1ABF93" w:rsidR="008C3259" w:rsidRPr="00A714C3" w:rsidRDefault="00183C4E" w:rsidP="00AB0D45">
      <w:pPr>
        <w:pStyle w:val="BodyText"/>
      </w:pPr>
      <w:r w:rsidRPr="00A714C3">
        <w:t>Təhsildə Keyfiyyət Təminatı Agentliyi təhsil müəssisələrinn akkreditasiyasını həyata keçirir və əlaqədar tələb və meyarları müəyyənləşdirir.</w:t>
      </w:r>
    </w:p>
    <w:p w14:paraId="7284A982" w14:textId="359E8C65" w:rsidR="008C3259" w:rsidRPr="00A714C3" w:rsidRDefault="008C3259" w:rsidP="00AB0D45">
      <w:pPr>
        <w:pStyle w:val="BodyText"/>
      </w:pPr>
      <w:r w:rsidRPr="00A714C3">
        <w:t xml:space="preserve">Həm MKÇ, həm də Təhsil müəssisələrinin akkreditasiyası qaydaları daxili keyfiyyət təminatı proseslərini nəzərdə tutur. Akkreditasiya qaydalarına əsasən, təhsil müəssisələri akkreditasiya prosesindən </w:t>
      </w:r>
      <w:r w:rsidR="0026148A">
        <w:t xml:space="preserve">ən azı bir ay əvvəl </w:t>
      </w:r>
      <w:r w:rsidRPr="00A714C3">
        <w:t xml:space="preserve">özünütəhlil hesabatlarını TN-ə təqdim etməlidirlər. Özünütəhlil hesabatına daxildir: </w:t>
      </w:r>
      <w:r w:rsidR="00DE63ED">
        <w:rPr>
          <w:color w:val="616264"/>
          <w:shd w:val="clear" w:color="auto" w:fill="FFFFFF"/>
        </w:rPr>
        <w:t>müəssisənin fəaliyyətinin normativ-hüquqi </w:t>
      </w:r>
      <w:r w:rsidR="00DE63ED" w:rsidRPr="00A714C3">
        <w:t xml:space="preserve"> </w:t>
      </w:r>
      <w:r w:rsidRPr="00A714C3">
        <w:t xml:space="preserve">təminatı, təhsil müəssisəsinin idarə olunması,  təhsil proqramları üzrə hazırlığın məzmunu və strukturu, </w:t>
      </w:r>
      <w:r w:rsidR="003869A7">
        <w:t>t</w:t>
      </w:r>
      <w:r w:rsidRPr="00A714C3">
        <w:t>ədris prosesinin təşkili, təhsil proqramları üzrə hazırlığın keyfiyyəti, kadr təminatı,</w:t>
      </w:r>
      <w:r w:rsidR="00DB01B3">
        <w:t xml:space="preserve"> </w:t>
      </w:r>
      <w:r w:rsidR="003869A7">
        <w:t>e</w:t>
      </w:r>
      <w:r w:rsidRPr="00A714C3">
        <w:t xml:space="preserve">lmi </w:t>
      </w:r>
      <w:r w:rsidR="00FF51E8">
        <w:t xml:space="preserve">- </w:t>
      </w:r>
      <w:r w:rsidRPr="00A714C3">
        <w:t>tədqiqat fəaliyyəti, beynəlxalq əməkdaşlıq, maddi-texniki baza, sosial-məişət şəraiti və maliyyə təminatı.</w:t>
      </w:r>
    </w:p>
    <w:p w14:paraId="6667DAA8" w14:textId="7C9ACB7C" w:rsidR="008C3259" w:rsidRPr="00A714C3" w:rsidRDefault="008C3259" w:rsidP="00AB0D45">
      <w:pPr>
        <w:pStyle w:val="BodyText"/>
      </w:pPr>
      <w:r w:rsidRPr="00A714C3">
        <w:t>Lakin özünütəhlil və həmkar qiymətləndirməsi hələ də təhsil sektorunda geniş tətbiq edilmir.</w:t>
      </w:r>
    </w:p>
    <w:p w14:paraId="5AFEDF66" w14:textId="597D4DCE" w:rsidR="008C3259" w:rsidRPr="00A714C3" w:rsidRDefault="008C3259" w:rsidP="0062408B">
      <w:pPr>
        <w:pStyle w:val="BodyText"/>
      </w:pPr>
      <w:r w:rsidRPr="00A714C3">
        <w:t>Peşə təhsili müəssisələrinin monitorinqi haqqında 2 mart 2018-ci il tarixli qaydalar PTT müəssisələrinin təhsil proqramı, işçi heyəti, təhsil infrastrukturu və təhsil prosesləri sahələrində monitorinqini nəzərdə tutur. Bu monitorinqi Peşə Təhsili üzrə Dövlət Agentliyi həyata keçirir.</w:t>
      </w:r>
    </w:p>
    <w:p w14:paraId="339B11C9" w14:textId="1E7CDBC1" w:rsidR="008C3259" w:rsidRPr="00A714C3" w:rsidRDefault="008C3259" w:rsidP="00AB0D45">
      <w:pPr>
        <w:pStyle w:val="BodyText"/>
      </w:pPr>
      <w:r w:rsidRPr="00A714C3">
        <w:t>2021-ci ilə planlaşdırılan, Aİ tərəfindən maliyyələşdiriləcək Tvinninq layihəsinin məqsədi özünütəhlil, həmkar qiymətləndirmələri və fəaliyyətin monitorinqi mexanizmlərinin təqdim edilməsi vasitəsilə peşə təhs</w:t>
      </w:r>
      <w:r w:rsidR="00954FD2">
        <w:t>i</w:t>
      </w:r>
      <w:r w:rsidRPr="00A714C3">
        <w:t xml:space="preserve">li sahəsində keyfiyyəti təkmilləşdirməkdir. Layihə Peşə Təhsili üzrə Dövlət Agentliyinə </w:t>
      </w:r>
      <w:r w:rsidR="003C5734">
        <w:t xml:space="preserve">və </w:t>
      </w:r>
      <w:r w:rsidRPr="00A714C3">
        <w:t>Təhsildə Keyfiyyət Təminatı Agentliyinə PTT sistemində daxili və xarici keyfiyyət təminatı siyasəti və prosedurlarının hazırlanmasında dəstək verəcək.</w:t>
      </w:r>
    </w:p>
    <w:p w14:paraId="062A05AA" w14:textId="5DB12EF9" w:rsidR="008C3259" w:rsidRPr="00A714C3" w:rsidRDefault="00C720DF" w:rsidP="00DD6EC4">
      <w:pPr>
        <w:pStyle w:val="Heading3"/>
      </w:pPr>
      <w:r w:rsidRPr="00A714C3">
        <w:lastRenderedPageBreak/>
        <w:t xml:space="preserve">Keyfiyyət təminatı, PTT-də təhsilverənlər üçün kvalifikasiya standartları və </w:t>
      </w:r>
      <w:r w:rsidR="005C65BE">
        <w:t xml:space="preserve"> davamlı peşəkar inkişaf</w:t>
      </w:r>
    </w:p>
    <w:p w14:paraId="38EF8560" w14:textId="36B477BA" w:rsidR="008C3259" w:rsidRPr="00A714C3" w:rsidRDefault="005838EA" w:rsidP="00752631">
      <w:pPr>
        <w:pStyle w:val="BodyText"/>
      </w:pPr>
      <w:r w:rsidRPr="00A714C3">
        <w:t xml:space="preserve">Müəllimlər və təlimçilər/təhsilverənlər üçün minimum keyfiyyət göstəriciləri Peşə təhsili haqqında qanunda, eləcə də Peşə təhsili üzrə dövlət standartlarında müəyyən edilir. Beləliklə peşə təhsili haqqında qanunda bəyan edilir ki, dövlətin peşə təhsili sahəsindəki vəzifələrindən biri “ali təhsil müəssisələrində peşə təhsili və təlimi sistemi üçün kadr hazırlığının həyata keçirilməsinə nail olmaq və peşə təhsili və təlimi sisteminə yüksək ixtisaslı mütəxəssisləri cəlb etməkdir”. Qanunda </w:t>
      </w:r>
      <w:r w:rsidR="00CF4746">
        <w:t xml:space="preserve">davamlı peşəkar inkişafla </w:t>
      </w:r>
      <w:r w:rsidRPr="00A714C3">
        <w:t>əlaqədar olaraq qeyd edilir: “peşə təhsili müəssisəsi qabaqcıl texnika və texnologiya ilə tanışlıq məqsədilə istehsalat təlimi üzrə mütəxəssislərini müvafiq müəssisələrə təcrübəyə göndərir”. Təhsilverənlərin vəzifələrindən biri “ixtisasını, elmi-pedaqoji və peşəkarlıq səviyyəsini yüksəltmək məqsədilə təkmilləşmə kurslarından və attestasiyadan keçməkdir”. Peşə təhsilinin dövlət standartlarında deyilir: “Peşə-ixtisas fənn müəllimlərinin və istehsalat təlimi ustalarının peşələrinə uyğun ən geci 2 ildən bir Azərbaycan Respublikası Təhsil Nazirliyinin müəyyən etdiyi müəssisə və təşkilatlarda yeni texnika və texnologiyalar üzrə istehsalat təcrübəsi keçmələri təmin olunur”.</w:t>
      </w:r>
    </w:p>
    <w:p w14:paraId="445D89D5" w14:textId="789A49E7" w:rsidR="008C3259" w:rsidRPr="00A714C3" w:rsidRDefault="00B42E22" w:rsidP="00AB0D45">
      <w:pPr>
        <w:pStyle w:val="BodyText"/>
      </w:pPr>
      <w:r w:rsidRPr="00A714C3">
        <w:t xml:space="preserve">Peşə təhsili haqqında qanun PTT sahəsində təhsilverənlərin attestasiyasına tələbləri müəyyən edir. Peşə təhsilinin dövlət standartları PTT müəssisələrində çalışan təhsilverənlərin bilik və bacarıqlarının diaqnostik qiymətləndirməsini tələb edir. Standartlarda təhsilverənlər üçün keyfiyyət göstəriciləri </w:t>
      </w:r>
      <w:r w:rsidR="00DA7442">
        <w:t xml:space="preserve">də </w:t>
      </w:r>
      <w:r w:rsidRPr="00A714C3">
        <w:t>müəyyən edilir.</w:t>
      </w:r>
    </w:p>
    <w:p w14:paraId="537D874B" w14:textId="0DCFCD6C" w:rsidR="008C3259" w:rsidRPr="00A714C3" w:rsidRDefault="008C3259" w:rsidP="00AB0D45">
      <w:pPr>
        <w:pStyle w:val="BodyText"/>
      </w:pPr>
      <w:r w:rsidRPr="00A714C3">
        <w:t>PTT müəssisələrində ümumi təhsil fənlərinin müəllimləri TN tərəfindən "Müəllimlərin işə qəbulu" proseduruna uyğun olaraq imtahana əsaslanan müsabiqə vasitəsilə işə qəbul edilir.</w:t>
      </w:r>
    </w:p>
    <w:p w14:paraId="7D7F491A" w14:textId="6E425FAC" w:rsidR="008C3259" w:rsidRPr="00A714C3" w:rsidRDefault="008C3259" w:rsidP="00AB0D45">
      <w:pPr>
        <w:pStyle w:val="BodyText"/>
      </w:pPr>
      <w:r w:rsidRPr="00A714C3">
        <w:t>İxtisaslaşmış müəllimlər isə PTT müəssisələri tərəfindən normativ sənədlərdə müəyyən edilən minimum tələblər əsasında işə qəbul edilirlər. Təhsilverənlərdən tələb olunan minimum kvalifikasiyalar müvafiq peşə sahəsi, keçilən ixtisas üzrə peşə təhsili (ali, tam orta) və ixtisaslaşmadır (azı 3 il istehsalat təcrübəsi və ya pedaqoji təcrübə).</w:t>
      </w:r>
    </w:p>
    <w:p w14:paraId="6CEDDF19" w14:textId="780851AB" w:rsidR="008C3259" w:rsidRPr="00A714C3" w:rsidRDefault="008C3259" w:rsidP="00AB0D45">
      <w:pPr>
        <w:pStyle w:val="BodyText"/>
      </w:pPr>
      <w:r w:rsidRPr="00A714C3">
        <w:t>Təhsilverənlər üçün minimum keyfiyyət göstəriciləri haqqında mövcud qanunvericilik müddəalarına baxmayaraq PTT heyətinin keyfiyyəti aşağıdır. PTT-də müəllimlərin ixtisaslarının artırılması üçün hərtərəfli siyasət hələ hazırlanmayıb. Son vaxtlara qədər təhsilverənlərin peşəkar təkmilləşmə kurslarında, seminar və ya təlimlərdə iştirakçı çox məhdud olmuş, əsas diqqət nəzəri biliklər üzərində cəmlənmişdir.</w:t>
      </w:r>
    </w:p>
    <w:p w14:paraId="7C94B95D" w14:textId="660E0F13" w:rsidR="008C3259" w:rsidRPr="00A714C3" w:rsidRDefault="00F64151" w:rsidP="00AB0D45">
      <w:pPr>
        <w:pStyle w:val="BodyText"/>
      </w:pPr>
      <w:r w:rsidRPr="00A714C3">
        <w:t xml:space="preserve">Strateji Yol Xəritəsində müəllim-pedaqoji heyətin hazırki hazırlıq səviyyəsinin qənaətbəxş olmaması məsələsinə toxunulur. Yol Xəritəsinin məqsədi müəllimlərin seçilməsi və işə qəbul edilməsi üçün şərt və meyarların, eləcə də peşəyə yeni başlayan gənc müəllimlər üçün uyğunlaşma tədbirlərinin müəyyən edilməsidir. Yol Xəritəsinin daha bir məqsədi müəllimlərin </w:t>
      </w:r>
      <w:r w:rsidR="002A1A51">
        <w:t xml:space="preserve">fəaliyyətinin </w:t>
      </w:r>
      <w:r w:rsidRPr="00A714C3">
        <w:t xml:space="preserve">qiymətləndirilməsi üçün meyarların, o cümlədən </w:t>
      </w:r>
      <w:r w:rsidR="002A1A51">
        <w:t xml:space="preserve">təhsilalanlar arasında </w:t>
      </w:r>
      <w:r w:rsidRPr="00A714C3">
        <w:t>rəy sorğularının, əlaqədar rəy mübadilələrinin inkişaf etdirilməsidir.</w:t>
      </w:r>
    </w:p>
    <w:p w14:paraId="5EE8B642" w14:textId="20A4DDD7" w:rsidR="00AB0D45" w:rsidRPr="00A714C3" w:rsidRDefault="00AB0D45" w:rsidP="00AB0D45">
      <w:pPr>
        <w:pStyle w:val="BodyText"/>
      </w:pPr>
    </w:p>
    <w:p w14:paraId="4171D346" w14:textId="77777777" w:rsidR="00ED0F4A" w:rsidRPr="00A714C3" w:rsidRDefault="00ED0F4A">
      <w:pPr>
        <w:spacing w:line="276" w:lineRule="auto"/>
        <w:rPr>
          <w:rFonts w:eastAsiaTheme="majorEastAsia" w:cstheme="majorBidi"/>
          <w:b/>
          <w:bCs/>
          <w:caps/>
          <w:color w:val="009CDA" w:themeColor="background2"/>
          <w:sz w:val="36"/>
          <w:szCs w:val="36"/>
        </w:rPr>
      </w:pPr>
      <w:r w:rsidRPr="00A714C3">
        <w:br w:type="page"/>
      </w:r>
    </w:p>
    <w:p w14:paraId="6FDF4F1A" w14:textId="60CD5CE6" w:rsidR="00AB0D45" w:rsidRPr="00A714C3" w:rsidRDefault="00AB0D45" w:rsidP="00AB0D45">
      <w:pPr>
        <w:pStyle w:val="Heading1"/>
      </w:pPr>
      <w:bookmarkStart w:id="11" w:name="_Toc90370741"/>
      <w:r w:rsidRPr="00A714C3">
        <w:lastRenderedPageBreak/>
        <w:t>Qısaltmaların siyahısı</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1"/>
      </w:tblGrid>
      <w:tr w:rsidR="00A714C3" w:rsidRPr="00A714C3" w14:paraId="6C11DDCA" w14:textId="77777777" w:rsidTr="00E72625">
        <w:trPr>
          <w:trHeight w:val="276"/>
        </w:trPr>
        <w:tc>
          <w:tcPr>
            <w:tcW w:w="1980" w:type="dxa"/>
          </w:tcPr>
          <w:p w14:paraId="35135B1A" w14:textId="77777777" w:rsidR="00A714C3" w:rsidRDefault="00A714C3" w:rsidP="00AC095F">
            <w:pPr>
              <w:pStyle w:val="BodyText"/>
            </w:pPr>
            <w:r w:rsidRPr="00A714C3">
              <w:t>Aİ</w:t>
            </w:r>
          </w:p>
          <w:p w14:paraId="3F2A3871" w14:textId="07CF4193" w:rsidR="00A94867" w:rsidRPr="00A714C3" w:rsidRDefault="00A94867" w:rsidP="00AC095F">
            <w:pPr>
              <w:pStyle w:val="BodyText"/>
            </w:pPr>
          </w:p>
        </w:tc>
        <w:tc>
          <w:tcPr>
            <w:tcW w:w="7081" w:type="dxa"/>
          </w:tcPr>
          <w:p w14:paraId="51C42024" w14:textId="77777777" w:rsidR="00A714C3" w:rsidRPr="00A714C3" w:rsidRDefault="00A714C3" w:rsidP="00AC095F">
            <w:pPr>
              <w:pStyle w:val="BodyText"/>
            </w:pPr>
            <w:r w:rsidRPr="00A714C3">
              <w:t>Avropa İttifaqı</w:t>
            </w:r>
          </w:p>
        </w:tc>
      </w:tr>
      <w:tr w:rsidR="00A714C3" w:rsidRPr="00A714C3" w14:paraId="7155A4E8" w14:textId="77777777" w:rsidTr="00E72625">
        <w:trPr>
          <w:trHeight w:val="276"/>
        </w:trPr>
        <w:tc>
          <w:tcPr>
            <w:tcW w:w="1980" w:type="dxa"/>
          </w:tcPr>
          <w:p w14:paraId="047690FD" w14:textId="77777777" w:rsidR="00A714C3" w:rsidRPr="00A714C3" w:rsidRDefault="00A714C3" w:rsidP="00AC095F">
            <w:pPr>
              <w:pStyle w:val="BodyText"/>
            </w:pPr>
            <w:r w:rsidRPr="00A714C3">
              <w:t>EQF</w:t>
            </w:r>
          </w:p>
          <w:p w14:paraId="53A4DE1A" w14:textId="77777777" w:rsidR="00A714C3" w:rsidRPr="00A714C3" w:rsidRDefault="00A714C3" w:rsidP="00AC095F">
            <w:pPr>
              <w:pStyle w:val="BodyText"/>
              <w:rPr>
                <w:lang w:val="en-GB"/>
              </w:rPr>
            </w:pPr>
          </w:p>
        </w:tc>
        <w:tc>
          <w:tcPr>
            <w:tcW w:w="7081" w:type="dxa"/>
          </w:tcPr>
          <w:p w14:paraId="76E95B04" w14:textId="77777777" w:rsidR="00A714C3" w:rsidRPr="00A714C3" w:rsidRDefault="00A714C3" w:rsidP="00AC095F">
            <w:pPr>
              <w:pStyle w:val="BodyText"/>
            </w:pPr>
            <w:r w:rsidRPr="00A714C3">
              <w:t>European Qualifications Framework (Avropa kvalifikasiyalar çərçivəsi)</w:t>
            </w:r>
          </w:p>
        </w:tc>
      </w:tr>
      <w:tr w:rsidR="00A714C3" w:rsidRPr="00A714C3" w14:paraId="6D4A215E" w14:textId="77777777" w:rsidTr="00E72625">
        <w:trPr>
          <w:trHeight w:val="276"/>
        </w:trPr>
        <w:tc>
          <w:tcPr>
            <w:tcW w:w="1980" w:type="dxa"/>
          </w:tcPr>
          <w:p w14:paraId="7DA44D3E" w14:textId="77777777" w:rsidR="00A714C3" w:rsidRPr="00A714C3" w:rsidRDefault="00A714C3" w:rsidP="00AC095F">
            <w:pPr>
              <w:pStyle w:val="BodyText"/>
            </w:pPr>
            <w:r w:rsidRPr="00A714C3">
              <w:t>ETF</w:t>
            </w:r>
          </w:p>
          <w:p w14:paraId="23343232" w14:textId="77777777" w:rsidR="00A714C3" w:rsidRPr="00A714C3" w:rsidRDefault="00A714C3" w:rsidP="00AC095F">
            <w:pPr>
              <w:pStyle w:val="BodyText"/>
              <w:rPr>
                <w:lang w:val="en-GB"/>
              </w:rPr>
            </w:pPr>
          </w:p>
        </w:tc>
        <w:tc>
          <w:tcPr>
            <w:tcW w:w="7081" w:type="dxa"/>
          </w:tcPr>
          <w:p w14:paraId="24766695" w14:textId="77777777" w:rsidR="00A714C3" w:rsidRPr="00A714C3" w:rsidRDefault="00A714C3" w:rsidP="00AC095F">
            <w:pPr>
              <w:pStyle w:val="BodyText"/>
            </w:pPr>
            <w:r w:rsidRPr="00A714C3">
              <w:t>European Training Foundation (Avropa Təlim Fondu)</w:t>
            </w:r>
          </w:p>
        </w:tc>
      </w:tr>
      <w:tr w:rsidR="00A714C3" w:rsidRPr="00A714C3" w14:paraId="304BCE11" w14:textId="77777777" w:rsidTr="00E72625">
        <w:trPr>
          <w:trHeight w:val="276"/>
        </w:trPr>
        <w:tc>
          <w:tcPr>
            <w:tcW w:w="1980" w:type="dxa"/>
          </w:tcPr>
          <w:p w14:paraId="4FEEF8AD" w14:textId="77777777" w:rsidR="00A714C3" w:rsidRPr="00A714C3" w:rsidRDefault="00A714C3" w:rsidP="00AC095F">
            <w:pPr>
              <w:pStyle w:val="BodyText"/>
            </w:pPr>
            <w:r w:rsidRPr="00A714C3">
              <w:t>ƏƏSMN</w:t>
            </w:r>
          </w:p>
          <w:p w14:paraId="1DC6E37C" w14:textId="77777777" w:rsidR="00A714C3" w:rsidRPr="00A714C3" w:rsidRDefault="00A714C3" w:rsidP="00AC095F">
            <w:pPr>
              <w:pStyle w:val="BodyText"/>
              <w:rPr>
                <w:lang w:val="en-GB"/>
              </w:rPr>
            </w:pPr>
          </w:p>
        </w:tc>
        <w:tc>
          <w:tcPr>
            <w:tcW w:w="7081" w:type="dxa"/>
          </w:tcPr>
          <w:p w14:paraId="7211CF54" w14:textId="77777777" w:rsidR="00A714C3" w:rsidRPr="00A714C3" w:rsidRDefault="00A714C3" w:rsidP="00AC095F">
            <w:pPr>
              <w:pStyle w:val="BodyText"/>
            </w:pPr>
            <w:r w:rsidRPr="00A714C3">
              <w:t>Əmək və Əhalinin Sosial Müdafiəsi Nazirliyi</w:t>
            </w:r>
          </w:p>
        </w:tc>
      </w:tr>
      <w:tr w:rsidR="00A714C3" w:rsidRPr="00A714C3" w14:paraId="631A2185" w14:textId="77777777" w:rsidTr="00E72625">
        <w:trPr>
          <w:trHeight w:val="276"/>
        </w:trPr>
        <w:tc>
          <w:tcPr>
            <w:tcW w:w="1980" w:type="dxa"/>
          </w:tcPr>
          <w:p w14:paraId="672D2216" w14:textId="77777777" w:rsidR="00A714C3" w:rsidRPr="00A714C3" w:rsidRDefault="00A714C3" w:rsidP="00AC095F">
            <w:pPr>
              <w:pStyle w:val="BodyText"/>
            </w:pPr>
            <w:r w:rsidRPr="00A714C3">
              <w:t>ISCED</w:t>
            </w:r>
          </w:p>
          <w:p w14:paraId="4981A3DF" w14:textId="77777777" w:rsidR="00A714C3" w:rsidRPr="00A714C3" w:rsidRDefault="00A714C3" w:rsidP="00AC095F">
            <w:pPr>
              <w:pStyle w:val="BodyText"/>
              <w:rPr>
                <w:lang w:val="en-GB"/>
              </w:rPr>
            </w:pPr>
          </w:p>
        </w:tc>
        <w:tc>
          <w:tcPr>
            <w:tcW w:w="7081" w:type="dxa"/>
          </w:tcPr>
          <w:p w14:paraId="0D7881D9" w14:textId="25F68739" w:rsidR="00A714C3" w:rsidRPr="00A714C3" w:rsidRDefault="00A714C3" w:rsidP="006C320A">
            <w:pPr>
              <w:pStyle w:val="BodyText"/>
            </w:pPr>
            <w:r w:rsidRPr="00A714C3">
              <w:t>International Standard Classification of Education (</w:t>
            </w:r>
            <w:r w:rsidR="006C320A">
              <w:t xml:space="preserve"> (Təhsilin Beynəlxalq Standart Təsnifatı)</w:t>
            </w:r>
          </w:p>
        </w:tc>
      </w:tr>
      <w:tr w:rsidR="00A714C3" w:rsidRPr="00A714C3" w14:paraId="78FB9E56" w14:textId="77777777" w:rsidTr="00E72625">
        <w:trPr>
          <w:trHeight w:val="276"/>
        </w:trPr>
        <w:tc>
          <w:tcPr>
            <w:tcW w:w="1980" w:type="dxa"/>
          </w:tcPr>
          <w:p w14:paraId="7C84D44A" w14:textId="77777777" w:rsidR="00A714C3" w:rsidRPr="00A714C3" w:rsidRDefault="00A714C3" w:rsidP="00AC095F">
            <w:pPr>
              <w:pStyle w:val="BodyText"/>
            </w:pPr>
            <w:r w:rsidRPr="00A714C3">
              <w:t>KOB-lar</w:t>
            </w:r>
          </w:p>
          <w:p w14:paraId="0ED10715" w14:textId="77777777" w:rsidR="00A714C3" w:rsidRPr="00A714C3" w:rsidRDefault="00A714C3" w:rsidP="00AC095F">
            <w:pPr>
              <w:pStyle w:val="BodyText"/>
              <w:rPr>
                <w:lang w:val="en-GB"/>
              </w:rPr>
            </w:pPr>
          </w:p>
        </w:tc>
        <w:tc>
          <w:tcPr>
            <w:tcW w:w="7081" w:type="dxa"/>
          </w:tcPr>
          <w:p w14:paraId="04096F33" w14:textId="77777777" w:rsidR="00A714C3" w:rsidRPr="00A714C3" w:rsidRDefault="00A714C3" w:rsidP="00AC095F">
            <w:pPr>
              <w:pStyle w:val="BodyText"/>
            </w:pPr>
            <w:r w:rsidRPr="00A714C3">
              <w:t>Kiçik və orta biznes müəssisələri</w:t>
            </w:r>
          </w:p>
        </w:tc>
      </w:tr>
      <w:tr w:rsidR="00A714C3" w:rsidRPr="00A714C3" w14:paraId="2E508E0C" w14:textId="77777777" w:rsidTr="00E72625">
        <w:trPr>
          <w:trHeight w:val="276"/>
        </w:trPr>
        <w:tc>
          <w:tcPr>
            <w:tcW w:w="1980" w:type="dxa"/>
          </w:tcPr>
          <w:p w14:paraId="67F64CE4" w14:textId="77777777" w:rsidR="00A714C3" w:rsidRPr="00A714C3" w:rsidRDefault="00A714C3" w:rsidP="00AC095F">
            <w:pPr>
              <w:pStyle w:val="BodyText"/>
            </w:pPr>
            <w:r w:rsidRPr="00A714C3">
              <w:t>QFİTT</w:t>
            </w:r>
          </w:p>
          <w:p w14:paraId="6EF0A636" w14:textId="77777777" w:rsidR="00A714C3" w:rsidRPr="00A714C3" w:rsidRDefault="00A714C3" w:rsidP="00AC095F">
            <w:pPr>
              <w:pStyle w:val="BodyText"/>
              <w:rPr>
                <w:lang w:val="en-GB"/>
              </w:rPr>
            </w:pPr>
          </w:p>
        </w:tc>
        <w:tc>
          <w:tcPr>
            <w:tcW w:w="7081" w:type="dxa"/>
          </w:tcPr>
          <w:p w14:paraId="2125483A" w14:textId="58A56121" w:rsidR="00A714C3" w:rsidRPr="00A714C3" w:rsidRDefault="00A714C3" w:rsidP="00D477CE">
            <w:pPr>
              <w:pStyle w:val="BodyText"/>
            </w:pPr>
            <w:r w:rsidRPr="00A714C3">
              <w:t xml:space="preserve">Qeyri-formal və informal </w:t>
            </w:r>
            <w:r w:rsidR="00D477CE">
              <w:t xml:space="preserve">təhsilin tanınması </w:t>
            </w:r>
          </w:p>
        </w:tc>
      </w:tr>
      <w:tr w:rsidR="00A714C3" w:rsidRPr="00A714C3" w14:paraId="54B43460" w14:textId="77777777" w:rsidTr="00E72625">
        <w:trPr>
          <w:trHeight w:val="276"/>
        </w:trPr>
        <w:tc>
          <w:tcPr>
            <w:tcW w:w="1980" w:type="dxa"/>
          </w:tcPr>
          <w:p w14:paraId="636625F1" w14:textId="77777777" w:rsidR="00A714C3" w:rsidRPr="00A714C3" w:rsidRDefault="00A714C3" w:rsidP="00175568">
            <w:pPr>
              <w:pStyle w:val="BodyText"/>
            </w:pPr>
            <w:r w:rsidRPr="00A714C3">
              <w:t>MKÇ</w:t>
            </w:r>
          </w:p>
          <w:p w14:paraId="60CA889B" w14:textId="77777777" w:rsidR="00A714C3" w:rsidRPr="00A714C3" w:rsidRDefault="00A714C3" w:rsidP="00175568">
            <w:pPr>
              <w:pStyle w:val="BodyText"/>
              <w:rPr>
                <w:lang w:val="en-GB"/>
              </w:rPr>
            </w:pPr>
          </w:p>
        </w:tc>
        <w:tc>
          <w:tcPr>
            <w:tcW w:w="7081" w:type="dxa"/>
          </w:tcPr>
          <w:p w14:paraId="54E79E64" w14:textId="2517C599" w:rsidR="00A714C3" w:rsidRPr="00A714C3" w:rsidRDefault="00A714C3" w:rsidP="00175568">
            <w:pPr>
              <w:pStyle w:val="BodyText"/>
            </w:pPr>
            <w:r w:rsidRPr="00A714C3">
              <w:t>Azərbaycanın Milli Kvalifikasiya</w:t>
            </w:r>
            <w:r w:rsidR="00D477CE">
              <w:t>lar</w:t>
            </w:r>
            <w:r w:rsidRPr="00A714C3">
              <w:t xml:space="preserve"> Çərçivəsi</w:t>
            </w:r>
          </w:p>
        </w:tc>
      </w:tr>
      <w:tr w:rsidR="00A714C3" w:rsidRPr="00A714C3" w14:paraId="3D373C6E" w14:textId="77777777" w:rsidTr="00E72625">
        <w:trPr>
          <w:trHeight w:val="276"/>
        </w:trPr>
        <w:tc>
          <w:tcPr>
            <w:tcW w:w="1980" w:type="dxa"/>
          </w:tcPr>
          <w:p w14:paraId="204A1CBF" w14:textId="77777777" w:rsidR="00A714C3" w:rsidRPr="00A714C3" w:rsidRDefault="00A714C3" w:rsidP="00E16C8A">
            <w:pPr>
              <w:pStyle w:val="BodyText"/>
            </w:pPr>
            <w:r w:rsidRPr="00A714C3">
              <w:t>ÖT</w:t>
            </w:r>
          </w:p>
          <w:p w14:paraId="563D8501" w14:textId="77777777" w:rsidR="00A714C3" w:rsidRPr="00A714C3" w:rsidRDefault="00A714C3" w:rsidP="00E16C8A">
            <w:pPr>
              <w:pStyle w:val="BodyText"/>
              <w:rPr>
                <w:lang w:val="en-GB"/>
              </w:rPr>
            </w:pPr>
          </w:p>
        </w:tc>
        <w:tc>
          <w:tcPr>
            <w:tcW w:w="7081" w:type="dxa"/>
          </w:tcPr>
          <w:p w14:paraId="11246B5B" w14:textId="77777777" w:rsidR="00A714C3" w:rsidRPr="00A714C3" w:rsidRDefault="00A714C3" w:rsidP="00E16C8A">
            <w:pPr>
              <w:pStyle w:val="BodyText"/>
            </w:pPr>
            <w:r w:rsidRPr="00A714C3">
              <w:t>Ömürboyu təhsil</w:t>
            </w:r>
          </w:p>
        </w:tc>
      </w:tr>
      <w:tr w:rsidR="00A714C3" w:rsidRPr="00A714C3" w14:paraId="005E887F" w14:textId="77777777" w:rsidTr="00E72625">
        <w:trPr>
          <w:trHeight w:val="276"/>
        </w:trPr>
        <w:tc>
          <w:tcPr>
            <w:tcW w:w="1980" w:type="dxa"/>
          </w:tcPr>
          <w:p w14:paraId="0B160E8C" w14:textId="77777777" w:rsidR="00A714C3" w:rsidRPr="00A714C3" w:rsidRDefault="00A714C3" w:rsidP="00AC095F">
            <w:pPr>
              <w:pStyle w:val="BodyText"/>
            </w:pPr>
            <w:r w:rsidRPr="00A714C3">
              <w:t>PTT</w:t>
            </w:r>
          </w:p>
          <w:p w14:paraId="6838C861" w14:textId="77777777" w:rsidR="00A714C3" w:rsidRPr="00A714C3" w:rsidRDefault="00A714C3" w:rsidP="00AC095F">
            <w:pPr>
              <w:pStyle w:val="BodyText"/>
              <w:rPr>
                <w:lang w:val="en-GB"/>
              </w:rPr>
            </w:pPr>
          </w:p>
        </w:tc>
        <w:tc>
          <w:tcPr>
            <w:tcW w:w="7081" w:type="dxa"/>
          </w:tcPr>
          <w:p w14:paraId="656C21EE" w14:textId="77777777" w:rsidR="00A714C3" w:rsidRPr="00A714C3" w:rsidRDefault="00A714C3" w:rsidP="00AC095F">
            <w:pPr>
              <w:pStyle w:val="BodyText"/>
            </w:pPr>
            <w:r w:rsidRPr="00A714C3">
              <w:t>Peşə təhsili və təlimi</w:t>
            </w:r>
          </w:p>
        </w:tc>
      </w:tr>
      <w:tr w:rsidR="00A714C3" w:rsidRPr="00A714C3" w14:paraId="7A1A8427" w14:textId="77777777" w:rsidTr="00E72625">
        <w:trPr>
          <w:trHeight w:val="276"/>
        </w:trPr>
        <w:tc>
          <w:tcPr>
            <w:tcW w:w="1980" w:type="dxa"/>
          </w:tcPr>
          <w:p w14:paraId="45A72C3B" w14:textId="77777777" w:rsidR="00A714C3" w:rsidRPr="00A714C3" w:rsidRDefault="00A714C3" w:rsidP="00AC095F">
            <w:pPr>
              <w:pStyle w:val="BodyText"/>
            </w:pPr>
            <w:r w:rsidRPr="00A714C3">
              <w:t>TN</w:t>
            </w:r>
          </w:p>
          <w:p w14:paraId="3958A0D6" w14:textId="77777777" w:rsidR="00A714C3" w:rsidRPr="00A714C3" w:rsidRDefault="00A714C3" w:rsidP="00AC095F">
            <w:pPr>
              <w:pStyle w:val="BodyText"/>
              <w:rPr>
                <w:lang w:val="en-GB"/>
              </w:rPr>
            </w:pPr>
          </w:p>
        </w:tc>
        <w:tc>
          <w:tcPr>
            <w:tcW w:w="7081" w:type="dxa"/>
          </w:tcPr>
          <w:p w14:paraId="181F0BF5" w14:textId="77777777" w:rsidR="00A714C3" w:rsidRPr="00A714C3" w:rsidRDefault="00A714C3" w:rsidP="00AC095F">
            <w:pPr>
              <w:pStyle w:val="BodyText"/>
            </w:pPr>
            <w:r w:rsidRPr="00A714C3">
              <w:t>Təhsil Nazirliyi</w:t>
            </w:r>
          </w:p>
        </w:tc>
      </w:tr>
      <w:tr w:rsidR="00A714C3" w:rsidRPr="00A714C3" w14:paraId="796D3C42" w14:textId="77777777" w:rsidTr="00E72625">
        <w:trPr>
          <w:trHeight w:val="276"/>
        </w:trPr>
        <w:tc>
          <w:tcPr>
            <w:tcW w:w="1980" w:type="dxa"/>
          </w:tcPr>
          <w:p w14:paraId="664CB750" w14:textId="77777777" w:rsidR="00A714C3" w:rsidRPr="00A714C3" w:rsidRDefault="00A714C3" w:rsidP="00AC095F">
            <w:pPr>
              <w:pStyle w:val="BodyText"/>
            </w:pPr>
            <w:r w:rsidRPr="00A714C3">
              <w:t>ÜDM</w:t>
            </w:r>
          </w:p>
          <w:p w14:paraId="28216EAD" w14:textId="77777777" w:rsidR="00A714C3" w:rsidRPr="00A714C3" w:rsidRDefault="00A714C3" w:rsidP="00AC095F">
            <w:pPr>
              <w:pStyle w:val="BodyText"/>
              <w:rPr>
                <w:lang w:val="en-GB"/>
              </w:rPr>
            </w:pPr>
          </w:p>
        </w:tc>
        <w:tc>
          <w:tcPr>
            <w:tcW w:w="7081" w:type="dxa"/>
          </w:tcPr>
          <w:p w14:paraId="259FAAEE" w14:textId="77777777" w:rsidR="00A714C3" w:rsidRPr="00A714C3" w:rsidRDefault="00A714C3" w:rsidP="00AC095F">
            <w:pPr>
              <w:pStyle w:val="BodyText"/>
            </w:pPr>
            <w:r w:rsidRPr="00A714C3">
              <w:t>Ümumi daxili məhsul</w:t>
            </w:r>
          </w:p>
        </w:tc>
      </w:tr>
    </w:tbl>
    <w:p w14:paraId="4F6E6676" w14:textId="77777777" w:rsidR="0054048E" w:rsidRPr="00A714C3" w:rsidRDefault="0054048E" w:rsidP="009C0D0F">
      <w:pPr>
        <w:pStyle w:val="BodyText"/>
        <w:rPr>
          <w:rFonts w:eastAsia="Arial"/>
          <w:lang w:val="en-GB"/>
        </w:rPr>
      </w:pPr>
    </w:p>
    <w:sectPr w:rsidR="0054048E" w:rsidRPr="00A714C3" w:rsidSect="001537EA">
      <w:headerReference w:type="default" r:id="rId19"/>
      <w:footerReference w:type="default" r:id="rId20"/>
      <w:pgSz w:w="11906" w:h="16838"/>
      <w:pgMar w:top="1814" w:right="1021" w:bottom="1814" w:left="181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73A9" w14:textId="77777777" w:rsidR="009A5C11" w:rsidRDefault="009A5C11" w:rsidP="0089222B">
      <w:r>
        <w:separator/>
      </w:r>
    </w:p>
    <w:p w14:paraId="5635DAC2" w14:textId="77777777" w:rsidR="009A5C11" w:rsidRDefault="009A5C11"/>
  </w:endnote>
  <w:endnote w:type="continuationSeparator" w:id="0">
    <w:p w14:paraId="4AC0F928" w14:textId="77777777" w:rsidR="009A5C11" w:rsidRDefault="009A5C11" w:rsidP="0089222B">
      <w:r>
        <w:continuationSeparator/>
      </w:r>
    </w:p>
    <w:p w14:paraId="68235BE7" w14:textId="77777777" w:rsidR="009A5C11" w:rsidRDefault="009A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399">
    <w:altName w:val="Times New Roman"/>
    <w:panose1 w:val="00000000000000000000"/>
    <w:charset w:val="00"/>
    <w:family w:val="auto"/>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d∏T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CBCA" w14:textId="77777777" w:rsidR="0006030D" w:rsidRDefault="00060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03DD" w14:textId="77777777" w:rsidR="008B617E" w:rsidRDefault="008B617E" w:rsidP="001537EA">
    <w:pPr>
      <w:pStyle w:val="Footer"/>
      <w:jc w:val="left"/>
      <w:rPr>
        <w:noProof/>
      </w:rPr>
    </w:pPr>
  </w:p>
  <w:p w14:paraId="2CA810A0" w14:textId="77777777" w:rsidR="008B617E" w:rsidRDefault="008B617E" w:rsidP="001537EA">
    <w:pPr>
      <w:pStyle w:val="Footer"/>
      <w:jc w:val="left"/>
      <w:rPr>
        <w:noProof/>
      </w:rPr>
    </w:pPr>
  </w:p>
  <w:p w14:paraId="46928DB6" w14:textId="77777777" w:rsidR="008B617E" w:rsidRDefault="008B617E" w:rsidP="001537EA">
    <w:pPr>
      <w:pStyle w:val="Footer"/>
      <w:jc w:val="left"/>
      <w:rPr>
        <w:noProof/>
      </w:rPr>
    </w:pPr>
  </w:p>
  <w:p w14:paraId="7F5352CF" w14:textId="77777777" w:rsidR="008B617E" w:rsidRDefault="008B617E" w:rsidP="001537EA">
    <w:pPr>
      <w:pStyle w:val="Footer"/>
      <w:jc w:val="left"/>
      <w:rPr>
        <w:noProof/>
      </w:rPr>
    </w:pPr>
  </w:p>
  <w:p w14:paraId="3A9CCB48" w14:textId="1BDE0559" w:rsidR="008B617E" w:rsidRDefault="008B617E" w:rsidP="001537EA">
    <w:pPr>
      <w:pStyle w:val="Footer"/>
      <w:jc w:val="left"/>
      <w:rPr>
        <w:noProof/>
      </w:rPr>
    </w:pPr>
  </w:p>
  <w:p w14:paraId="2C2F5B34" w14:textId="49B04A88" w:rsidR="008B617E" w:rsidRDefault="008B617E" w:rsidP="001537EA">
    <w:pPr>
      <w:pStyle w:val="Footer"/>
      <w:jc w:val="left"/>
      <w:rPr>
        <w:noProof/>
      </w:rPr>
    </w:pPr>
  </w:p>
  <w:p w14:paraId="2FCAAFC2" w14:textId="0B282D95" w:rsidR="008B617E" w:rsidRDefault="008B617E" w:rsidP="000D4433">
    <w:pPr>
      <w:pStyle w:val="Footer"/>
      <w:tabs>
        <w:tab w:val="left" w:pos="7668"/>
      </w:tabs>
      <w:jc w:val="left"/>
      <w:rPr>
        <w:noProof/>
      </w:rPr>
    </w:pPr>
    <w:r>
      <w:rPr>
        <w:rFonts w:ascii="Arial Bold" w:hAnsi="Arial Bold"/>
        <w:caps w:val="0"/>
        <w:noProof/>
        <w:color w:val="auto"/>
        <w:sz w:val="72"/>
        <w:szCs w:val="72"/>
        <w:lang w:val="en-US"/>
      </w:rPr>
      <mc:AlternateContent>
        <mc:Choice Requires="wps">
          <w:drawing>
            <wp:anchor distT="45720" distB="45720" distL="114300" distR="114300" simplePos="0" relativeHeight="251681792" behindDoc="0" locked="0" layoutInCell="1" allowOverlap="1" wp14:anchorId="7A9897D6" wp14:editId="4D0BB60A">
              <wp:simplePos x="0" y="0"/>
              <wp:positionH relativeFrom="column">
                <wp:posOffset>4123236</wp:posOffset>
              </wp:positionH>
              <wp:positionV relativeFrom="paragraph">
                <wp:posOffset>28575</wp:posOffset>
              </wp:positionV>
              <wp:extent cx="2360930" cy="31305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055"/>
                      </a:xfrm>
                      <a:prstGeom prst="rect">
                        <a:avLst/>
                      </a:prstGeom>
                      <a:noFill/>
                      <a:ln w="9525">
                        <a:noFill/>
                        <a:miter lim="800000"/>
                        <a:headEnd/>
                        <a:tailEnd/>
                      </a:ln>
                    </wps:spPr>
                    <wps:txbx>
                      <w:txbxContent>
                        <w:p w14:paraId="58F6B7E3" w14:textId="467A57F4" w:rsidR="008B617E" w:rsidRPr="000D4433" w:rsidRDefault="008B617E" w:rsidP="000D4433">
                          <w:pPr>
                            <w:jc w:val="center"/>
                            <w:rPr>
                              <w:rFonts w:ascii="Arial Bold" w:hAnsi="Arial Bold"/>
                              <w:sz w:val="13"/>
                              <w:szCs w:val="16"/>
                            </w:rPr>
                          </w:pPr>
                          <w:r>
                            <w:rPr>
                              <w:rFonts w:ascii="Arial Bold" w:hAnsi="Arial Bold"/>
                              <w:b/>
                              <w:sz w:val="13"/>
                              <w:szCs w:val="16"/>
                            </w:rPr>
                            <w:t>PEŞƏ TƏHSİLİ VƏ TƏLİMİNDƏ KEYFİYYƏT TƏMİNATI ÜÇÜN ETF FORUMU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9897D6" id="_x0000_t202" coordsize="21600,21600" o:spt="202" path="m,l,21600r21600,l21600,xe">
              <v:stroke joinstyle="miter"/>
              <v:path gradientshapeok="t" o:connecttype="rect"/>
            </v:shapetype>
            <v:shape id="Text Box 2" o:spid="_x0000_s1026" type="#_x0000_t202" style="position:absolute;margin-left:324.65pt;margin-top:2.25pt;width:185.9pt;height:24.6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" filled="f" stroked="f">
              <v:textbox>
                <w:txbxContent>
                  <w:p w14:paraId="58F6B7E3" w14:textId="467A57F4" w:rsidR="008B617E" w:rsidRPr="000D4433" w:rsidRDefault="008B617E" w:rsidP="000D4433">
                    <w:pPr>
                      <w:jc w:val="center"/>
                      <w:rPr>
                        <w:rFonts w:ascii="Arial Bold" w:hAnsi="Arial Bold"/>
                        <w:sz w:val="13"/>
                        <w:szCs w:val="16"/>
                      </w:rPr>
                    </w:pPr>
                    <w:r>
                      <w:rPr>
                        <w:rFonts w:ascii="Arial Bold" w:hAnsi="Arial Bold"/>
                        <w:b/>
                        <w:sz w:val="13"/>
                        <w:szCs w:val="16"/>
                      </w:rPr>
                      <w:t>PEŞƏ TƏHSİLİ VƏ TƏLİMİNDƏ KEYFİYYƏT TƏMİNATI ÜÇÜN ETF FORUMU</w:t>
                    </w:r>
                  </w:p>
                </w:txbxContent>
              </v:textbox>
              <w10:wrap type="square"/>
            </v:shape>
          </w:pict>
        </mc:Fallback>
      </mc:AlternateContent>
    </w:r>
    <w:r>
      <w:tab/>
    </w:r>
  </w:p>
  <w:p w14:paraId="0DC58577" w14:textId="13E66153" w:rsidR="008B617E" w:rsidRDefault="008B617E" w:rsidP="001537EA">
    <w:pPr>
      <w:pStyle w:val="Footer"/>
      <w:jc w:val="left"/>
      <w:rPr>
        <w:noProof/>
      </w:rPr>
    </w:pPr>
  </w:p>
  <w:p w14:paraId="6D9DCD7E" w14:textId="77777777" w:rsidR="008B617E" w:rsidRDefault="008B617E" w:rsidP="001537EA">
    <w:pPr>
      <w:pStyle w:val="Footer"/>
      <w:jc w:val="left"/>
      <w:rPr>
        <w:noProof/>
      </w:rPr>
    </w:pPr>
  </w:p>
  <w:p w14:paraId="59E13B81" w14:textId="77777777" w:rsidR="008B617E" w:rsidRDefault="008B617E" w:rsidP="001537EA">
    <w:pPr>
      <w:pStyle w:val="Footer"/>
      <w:jc w:val="left"/>
      <w:rPr>
        <w:noProof/>
      </w:rPr>
    </w:pPr>
    <w:r>
      <w:rPr>
        <w:noProof/>
        <w:lang w:val="en-US"/>
      </w:rPr>
      <w:drawing>
        <wp:anchor distT="0" distB="0" distL="114300" distR="114300" simplePos="0" relativeHeight="251679744" behindDoc="0" locked="0" layoutInCell="1" allowOverlap="1" wp14:anchorId="36B608F8" wp14:editId="0082F156">
          <wp:simplePos x="0" y="0"/>
          <wp:positionH relativeFrom="column">
            <wp:posOffset>-467995</wp:posOffset>
          </wp:positionH>
          <wp:positionV relativeFrom="paragraph">
            <wp:posOffset>-1346673</wp:posOffset>
          </wp:positionV>
          <wp:extent cx="1879200" cy="1285200"/>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1285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2407" w14:textId="77777777" w:rsidR="008B617E" w:rsidRDefault="008B617E" w:rsidP="0089222B">
    <w:pPr>
      <w:pStyle w:val="Footer"/>
      <w:rPr>
        <w:noProof/>
      </w:rPr>
    </w:pPr>
    <w:r>
      <w:rPr>
        <w:noProof/>
        <w:lang w:val="en-US"/>
      </w:rPr>
      <mc:AlternateContent>
        <mc:Choice Requires="wps">
          <w:drawing>
            <wp:anchor distT="0" distB="0" distL="114300" distR="114300" simplePos="0" relativeHeight="251658239" behindDoc="0" locked="0" layoutInCell="1" allowOverlap="1" wp14:anchorId="76F325C3" wp14:editId="68FCA2D9">
              <wp:simplePos x="0" y="0"/>
              <wp:positionH relativeFrom="page">
                <wp:posOffset>666115</wp:posOffset>
              </wp:positionH>
              <wp:positionV relativeFrom="paragraph">
                <wp:posOffset>-450215</wp:posOffset>
              </wp:positionV>
              <wp:extent cx="6334760" cy="266700"/>
              <wp:effectExtent l="0" t="0" r="889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4223" id="Rectangle 3" o:spid="_x0000_s1026" style="position:absolute;margin-left:52.45pt;margin-top:-35.45pt;width:498.8pt;height: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" fillcolor="#ffdc00 [3207]" stroked="f">
              <v:fill color2="#009cda [3208]" rotate="t" angle="90" focus="100%" type="gradient"/>
              <w10:wrap anchorx="page"/>
            </v:rect>
          </w:pict>
        </mc:Fallback>
      </mc:AlternateContent>
    </w:r>
    <w:r>
      <w:rPr>
        <w:noProof/>
        <w:lang w:val="en-US"/>
      </w:rPr>
      <mc:AlternateContent>
        <mc:Choice Requires="wps">
          <w:drawing>
            <wp:anchor distT="0" distB="0" distL="114300" distR="114300" simplePos="0" relativeHeight="251664384" behindDoc="0" locked="0" layoutInCell="1" allowOverlap="1" wp14:anchorId="3F004629" wp14:editId="089058E2">
              <wp:simplePos x="0" y="0"/>
              <wp:positionH relativeFrom="page">
                <wp:posOffset>666115</wp:posOffset>
              </wp:positionH>
              <wp:positionV relativeFrom="paragraph">
                <wp:posOffset>-450215</wp:posOffset>
              </wp:positionV>
              <wp:extent cx="6497955" cy="431800"/>
              <wp:effectExtent l="0" t="0" r="0" b="63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32DF5" id="AutoShape 1" o:spid="_x0000_s1026" style="position:absolute;margin-left:52.45pt;margin-top:-35.45pt;width:511.65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" fillcolor="#ffdc00 [3207]" stroked="f" strokecolor="#0393bc" strokeweight="3pt">
              <v:fill color2="#009cda [3208]" rotate="t" angle="90" focus="100%" type="gradient"/>
              <v:shadow color="#004d6c [1608]" opacity=".5" offset="1pt"/>
              <w10:wrap anchorx="page"/>
            </v:round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3" w:type="pct"/>
      <w:tblBorders>
        <w:top w:val="single" w:sz="12" w:space="0" w:color="43545E"/>
      </w:tblBorders>
      <w:tblCellMar>
        <w:left w:w="0" w:type="dxa"/>
        <w:right w:w="0" w:type="dxa"/>
      </w:tblCellMar>
      <w:tblLook w:val="04A0" w:firstRow="1" w:lastRow="0" w:firstColumn="1" w:lastColumn="0" w:noHBand="0" w:noVBand="1"/>
    </w:tblPr>
    <w:tblGrid>
      <w:gridCol w:w="2295"/>
      <w:gridCol w:w="7306"/>
    </w:tblGrid>
    <w:tr w:rsidR="008B617E" w14:paraId="4FDC6BCC" w14:textId="77777777" w:rsidTr="00D71FBA">
      <w:trPr>
        <w:trHeight w:val="794"/>
      </w:trPr>
      <w:tc>
        <w:tcPr>
          <w:tcW w:w="1195" w:type="pct"/>
          <w:vAlign w:val="bottom"/>
        </w:tcPr>
        <w:p w14:paraId="1C5B8434" w14:textId="77777777" w:rsidR="008B617E" w:rsidRDefault="008B617E" w:rsidP="001537EA">
          <w:pPr>
            <w:pStyle w:val="Footer"/>
            <w:jc w:val="left"/>
          </w:pPr>
          <w:r>
            <w:rPr>
              <w:noProof/>
              <w:lang w:val="en-US"/>
            </w:rPr>
            <w:drawing>
              <wp:inline distT="0" distB="0" distL="0" distR="0" wp14:anchorId="323E030D" wp14:editId="1007D5EE">
                <wp:extent cx="72898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jpg"/>
                        <pic:cNvPicPr/>
                      </pic:nvPicPr>
                      <pic:blipFill>
                        <a:blip r:embed="rId1">
                          <a:extLst>
                            <a:ext uri="{28A0092B-C50C-407E-A947-70E740481C1C}">
                              <a14:useLocalDpi xmlns:a14="http://schemas.microsoft.com/office/drawing/2010/main" val="0"/>
                            </a:ext>
                          </a:extLst>
                        </a:blip>
                        <a:stretch>
                          <a:fillRect/>
                        </a:stretch>
                      </pic:blipFill>
                      <pic:spPr>
                        <a:xfrm>
                          <a:off x="0" y="0"/>
                          <a:ext cx="784553" cy="492054"/>
                        </a:xfrm>
                        <a:prstGeom prst="rect">
                          <a:avLst/>
                        </a:prstGeom>
                      </pic:spPr>
                    </pic:pic>
                  </a:graphicData>
                </a:graphic>
              </wp:inline>
            </w:drawing>
          </w:r>
        </w:p>
      </w:tc>
      <w:tc>
        <w:tcPr>
          <w:tcW w:w="3805" w:type="pct"/>
          <w:vAlign w:val="center"/>
        </w:tcPr>
        <w:p w14:paraId="7DEB8864" w14:textId="46CB95F4" w:rsidR="008B617E" w:rsidRPr="00785089" w:rsidRDefault="00785089" w:rsidP="00ED567F">
          <w:pPr>
            <w:pStyle w:val="FooterText"/>
            <w:rPr>
              <w:caps w:val="0"/>
            </w:rPr>
          </w:pPr>
          <w:r>
            <w:t>AZƏRBAYCANDA  PEŞƏ TƏHSİLİ VƏ TƏLİMİNDƏ KEYFİYYƏT TƏMİNATI</w:t>
          </w:r>
          <w:r>
            <w:rPr>
              <w:caps w:val="0"/>
              <w:vanish/>
            </w:rPr>
            <w:t xml:space="preserve"> | </w:t>
          </w:r>
          <w:r w:rsidR="008B617E" w:rsidRPr="0006030D">
            <w:rPr>
              <w:b/>
              <w:bCs/>
              <w:caps w:val="0"/>
              <w:vanish/>
            </w:rPr>
            <w:fldChar w:fldCharType="begin"/>
          </w:r>
          <w:r w:rsidR="008B617E" w:rsidRPr="0006030D">
            <w:rPr>
              <w:caps w:val="0"/>
              <w:vanish/>
            </w:rPr>
            <w:instrText xml:space="preserve"> PAGE  \* Arabic </w:instrText>
          </w:r>
          <w:r w:rsidR="008B617E" w:rsidRPr="0006030D">
            <w:rPr>
              <w:b/>
              <w:bCs/>
              <w:caps w:val="0"/>
              <w:vanish/>
            </w:rPr>
            <w:fldChar w:fldCharType="separate"/>
          </w:r>
          <w:r w:rsidR="006C320A">
            <w:rPr>
              <w:caps w:val="0"/>
              <w:noProof/>
              <w:vanish/>
            </w:rPr>
            <w:t>12</w:t>
          </w:r>
          <w:r w:rsidR="008B617E" w:rsidRPr="0006030D">
            <w:rPr>
              <w:b/>
              <w:bCs/>
              <w:caps w:val="0"/>
              <w:vanish/>
            </w:rPr>
            <w:fldChar w:fldCharType="end"/>
          </w:r>
        </w:p>
      </w:tc>
    </w:tr>
  </w:tbl>
  <w:p w14:paraId="56205A88" w14:textId="77777777" w:rsidR="008B617E" w:rsidRPr="00843380" w:rsidRDefault="008B617E" w:rsidP="001537E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3E86" w14:textId="77777777" w:rsidR="009A5C11" w:rsidRPr="001C4B9D" w:rsidRDefault="009A5C11" w:rsidP="0089222B">
      <w:r w:rsidRPr="001C4B9D">
        <w:separator/>
      </w:r>
    </w:p>
  </w:footnote>
  <w:footnote w:type="continuationSeparator" w:id="0">
    <w:p w14:paraId="250ED996" w14:textId="77777777" w:rsidR="009A5C11" w:rsidRDefault="009A5C11" w:rsidP="0089222B">
      <w:r>
        <w:continuationSeparator/>
      </w:r>
    </w:p>
    <w:p w14:paraId="45BE268F" w14:textId="77777777" w:rsidR="009A5C11" w:rsidRDefault="009A5C11"/>
  </w:footnote>
  <w:footnote w:id="1">
    <w:p w14:paraId="236A3D92" w14:textId="2AD300A8" w:rsidR="008B617E" w:rsidRPr="00A06229" w:rsidRDefault="008B617E" w:rsidP="008C3259">
      <w:pPr>
        <w:pStyle w:val="FootnoteText"/>
      </w:pPr>
      <w:r>
        <w:rPr>
          <w:rStyle w:val="FootnoteReference"/>
        </w:rPr>
        <w:footnoteRef/>
      </w:r>
      <w:r>
        <w:t xml:space="preserve"> Azərbaycan Respublikası</w:t>
      </w:r>
      <w:r w:rsidR="0072014B">
        <w:t>nın</w:t>
      </w:r>
      <w:r>
        <w:t xml:space="preserve"> Dövlət Statistika Komitəsi</w:t>
      </w:r>
    </w:p>
  </w:footnote>
  <w:footnote w:id="2">
    <w:p w14:paraId="3DC8D51E" w14:textId="6D82C488" w:rsidR="008B617E" w:rsidRDefault="008B617E" w:rsidP="008C3259">
      <w:pPr>
        <w:pStyle w:val="FootnoteText"/>
      </w:pPr>
      <w:r>
        <w:rPr>
          <w:rStyle w:val="FootnoteReference"/>
        </w:rPr>
        <w:footnoteRef/>
      </w:r>
      <w:r>
        <w:t xml:space="preserve"> </w:t>
      </w:r>
      <w:r>
        <w:t>3 ‘Key indicators on education skills and employment 2019’, ETF,</w:t>
      </w:r>
      <w:r w:rsidR="0036369C">
        <w:t xml:space="preserve"> </w:t>
      </w:r>
      <w:r w:rsidR="00FB0D45">
        <w:t>“Təhsil, bacarıq və məşğulluqla bağlı əsas göstəricilər 2019”, ETF</w:t>
      </w:r>
      <w:r>
        <w:t xml:space="preserve"> </w:t>
      </w:r>
      <w:hyperlink r:id="rId1" w:history="1">
        <w:r w:rsidR="0036369C" w:rsidRPr="00797A9F">
          <w:rPr>
            <w:rStyle w:val="Hyperlink"/>
          </w:rPr>
          <w:t>https://www.etf.europa.eu/sites/default/files/2019-12/kiese_2019.pdf</w:t>
        </w:r>
      </w:hyperlink>
    </w:p>
  </w:footnote>
  <w:footnote w:id="3">
    <w:p w14:paraId="5CA4B9E3" w14:textId="3861612F" w:rsidR="008B617E" w:rsidRDefault="008B617E" w:rsidP="008C3259">
      <w:pPr>
        <w:pStyle w:val="FootnoteText"/>
      </w:pPr>
      <w:r>
        <w:rPr>
          <w:rStyle w:val="FootnoteReference"/>
        </w:rPr>
        <w:footnoteRef/>
      </w:r>
      <w:r w:rsidR="00EE32E0">
        <w:t xml:space="preserve"> </w:t>
      </w:r>
      <w:r w:rsidR="00EE32E0" w:rsidRPr="00EE32E0">
        <w:t>http://www.e-qanun.az/framework/39275</w:t>
      </w:r>
      <w:r>
        <w:rPr>
          <w:vanish/>
        </w:rPr>
        <w:t xml:space="preserve"> http://www.e-qanun.az/framework/39275</w:t>
      </w:r>
    </w:p>
  </w:footnote>
  <w:footnote w:id="4">
    <w:p w14:paraId="367C1913" w14:textId="659F8CB6" w:rsidR="008B617E" w:rsidRPr="00A714C3" w:rsidRDefault="008B617E" w:rsidP="00390E28">
      <w:pPr>
        <w:pStyle w:val="DNEx1"/>
      </w:pPr>
      <w:r>
        <w:rPr>
          <w:rStyle w:val="FootnoteReference"/>
        </w:rPr>
        <w:footnoteRef/>
      </w:r>
      <w:r>
        <w:t xml:space="preserve"> </w:t>
      </w:r>
      <w:hyperlink r:id="rId2" w:history="1">
        <w:r w:rsidRPr="00A90ECC">
          <w:rPr>
            <w:rStyle w:val="Hyperlink"/>
          </w:rPr>
          <w:t>http://dim.gov.az/en/docs/</w:t>
        </w:r>
      </w:hyperlink>
    </w:p>
  </w:footnote>
  <w:footnote w:id="5">
    <w:p w14:paraId="51DABF0D" w14:textId="77777777" w:rsidR="008B617E" w:rsidRPr="00A5684F" w:rsidRDefault="008B617E" w:rsidP="008C3259">
      <w:pPr>
        <w:pStyle w:val="FootnoteText"/>
      </w:pPr>
      <w:r>
        <w:rPr>
          <w:rStyle w:val="FootnoteReference"/>
        </w:rPr>
        <w:footnoteRef/>
      </w:r>
      <w:r>
        <w:t xml:space="preserve"> SUPPORT </w:t>
      </w:r>
      <w:r>
        <w:t>TO VOCATIONAL EDUCATION AND TRAINING (VET) IN AZERBAIJAN, EuropeAid/137866/DH/S, Yekun hesabat iyul 2020</w:t>
      </w:r>
    </w:p>
  </w:footnote>
  <w:footnote w:id="6">
    <w:p w14:paraId="4FE024B2" w14:textId="34E5FFEE" w:rsidR="008B617E" w:rsidRPr="00A714C3" w:rsidRDefault="008B617E" w:rsidP="00390E28">
      <w:pPr>
        <w:pStyle w:val="DNEx1"/>
      </w:pPr>
      <w:r>
        <w:rPr>
          <w:rStyle w:val="FootnoteReference"/>
        </w:rPr>
        <w:footnoteRef/>
      </w:r>
      <w:r>
        <w:t xml:space="preserve"> </w:t>
      </w:r>
      <w:hyperlink r:id="rId3" w:history="1">
        <w:r w:rsidRPr="004972D4">
          <w:rPr>
            <w:rStyle w:val="Hyperlink"/>
          </w:rPr>
          <w:t>http://www.e-qanun.az/framework/41741</w:t>
        </w:r>
      </w:hyperlink>
    </w:p>
  </w:footnote>
  <w:footnote w:id="7">
    <w:p w14:paraId="64ECABBC" w14:textId="769810D2" w:rsidR="008B617E" w:rsidRPr="00A714C3" w:rsidRDefault="008B617E" w:rsidP="00390E28">
      <w:pPr>
        <w:pStyle w:val="DNEx1"/>
      </w:pPr>
      <w:r>
        <w:rPr>
          <w:rStyle w:val="FootnoteReference"/>
        </w:rPr>
        <w:footnoteRef/>
      </w:r>
      <w:r>
        <w:t xml:space="preserve"> </w:t>
      </w:r>
      <w:hyperlink r:id="rId4" w:history="1">
        <w:r w:rsidRPr="00002B72">
          <w:rPr>
            <w:rStyle w:val="Hyperlink"/>
          </w:rPr>
          <w:t>https://www.sosial.gov.az/en/specialty-standards</w:t>
        </w:r>
      </w:hyperlink>
    </w:p>
  </w:footnote>
  <w:footnote w:id="8">
    <w:p w14:paraId="66853ACA" w14:textId="42CA2D71" w:rsidR="008B617E" w:rsidRDefault="008B617E" w:rsidP="00390E28">
      <w:pPr>
        <w:pStyle w:val="DNEx1"/>
      </w:pPr>
      <w:r>
        <w:rPr>
          <w:rStyle w:val="FootnoteReference"/>
        </w:rPr>
        <w:footnoteRef/>
      </w:r>
      <w:r>
        <w:t xml:space="preserve"> </w:t>
      </w:r>
      <w:hyperlink r:id="rId5" w:history="1">
        <w:r w:rsidRPr="00ED7643">
          <w:rPr>
            <w:rStyle w:val="Hyperlink"/>
          </w:rPr>
          <w:t>https://nk.gov.az/az/document/4997/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A05B" w14:textId="77777777" w:rsidR="0006030D" w:rsidRDefault="00060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D56" w14:textId="77777777" w:rsidR="008B617E" w:rsidRPr="000D4433" w:rsidRDefault="008B617E" w:rsidP="001537EA">
    <w:pPr>
      <w:pStyle w:val="Header"/>
      <w:rPr>
        <w:color w:val="FFFFFF"/>
        <w:sz w:val="18"/>
        <w:szCs w:val="18"/>
      </w:rPr>
    </w:pPr>
    <w:r>
      <w:rPr>
        <w:color w:val="FFFFFF"/>
        <w:sz w:val="18"/>
        <w:szCs w:val="18"/>
        <w:lang w:val="en-US"/>
      </w:rPr>
      <w:drawing>
        <wp:anchor distT="0" distB="0" distL="114300" distR="114300" simplePos="0" relativeHeight="251677696" behindDoc="1" locked="0" layoutInCell="1" allowOverlap="1" wp14:anchorId="1575A677" wp14:editId="43557B19">
          <wp:simplePos x="0" y="0"/>
          <wp:positionH relativeFrom="page">
            <wp:align>left</wp:align>
          </wp:positionH>
          <wp:positionV relativeFrom="paragraph">
            <wp:posOffset>-450166</wp:posOffset>
          </wp:positionV>
          <wp:extent cx="7560000" cy="10851196"/>
          <wp:effectExtent l="0" t="0" r="317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51196"/>
                  </a:xfrm>
                  <a:prstGeom prst="rect">
                    <a:avLst/>
                  </a:prstGeom>
                </pic:spPr>
              </pic:pic>
            </a:graphicData>
          </a:graphic>
          <wp14:sizeRelH relativeFrom="page">
            <wp14:pctWidth>0</wp14:pctWidth>
          </wp14:sizeRelH>
          <wp14:sizeRelV relativeFrom="page">
            <wp14:pctHeight>0</wp14:pctHeight>
          </wp14:sizeRelV>
        </wp:anchor>
      </w:drawing>
    </w:r>
    <w:r>
      <w:rPr>
        <w:color w:val="FFFFFF"/>
        <w:sz w:val="18"/>
        <w:szCs w:val="18"/>
        <w:lang w:val="en-US"/>
      </w:rPr>
      <w:drawing>
        <wp:anchor distT="0" distB="540385" distL="114300" distR="114300" simplePos="0" relativeHeight="251676672" behindDoc="0" locked="1" layoutInCell="1" allowOverlap="1" wp14:anchorId="0BB03730" wp14:editId="0241F08D">
          <wp:simplePos x="0" y="0"/>
          <wp:positionH relativeFrom="page">
            <wp:posOffset>720090</wp:posOffset>
          </wp:positionH>
          <wp:positionV relativeFrom="page">
            <wp:posOffset>514350</wp:posOffset>
          </wp:positionV>
          <wp:extent cx="1831059" cy="1148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31059" cy="114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E84E8E" w14:textId="77777777" w:rsidR="008B617E" w:rsidRPr="000D4433" w:rsidRDefault="008B617E" w:rsidP="001537EA">
    <w:pPr>
      <w:pStyle w:val="Header"/>
      <w:rPr>
        <w:color w:val="FFFFFF"/>
        <w:sz w:val="18"/>
        <w:szCs w:val="18"/>
      </w:rPr>
    </w:pPr>
  </w:p>
  <w:p w14:paraId="2D1A6DE9" w14:textId="77777777" w:rsidR="008B617E" w:rsidRPr="000D4433" w:rsidRDefault="008B617E" w:rsidP="001537EA">
    <w:pPr>
      <w:pStyle w:val="Header"/>
      <w:rPr>
        <w:color w:val="FFFFFF"/>
        <w:sz w:val="18"/>
        <w:szCs w:val="18"/>
      </w:rPr>
    </w:pPr>
  </w:p>
  <w:p w14:paraId="69F752B1" w14:textId="77777777" w:rsidR="008B617E" w:rsidRPr="000D4433" w:rsidRDefault="008B617E" w:rsidP="001537EA">
    <w:pPr>
      <w:pStyle w:val="Header"/>
      <w:rPr>
        <w:color w:val="FFFFFF"/>
        <w:sz w:val="18"/>
        <w:szCs w:val="18"/>
      </w:rPr>
    </w:pPr>
  </w:p>
  <w:p w14:paraId="502C4257" w14:textId="77777777" w:rsidR="008B617E" w:rsidRPr="000D4433" w:rsidRDefault="008B617E" w:rsidP="001537EA">
    <w:pPr>
      <w:pStyle w:val="Header"/>
      <w:rPr>
        <w:color w:val="FFFFFF"/>
        <w:sz w:val="18"/>
        <w:szCs w:val="18"/>
      </w:rPr>
    </w:pPr>
  </w:p>
  <w:p w14:paraId="4CF9EEFA" w14:textId="77777777" w:rsidR="008B617E" w:rsidRPr="000D4433" w:rsidRDefault="008B617E" w:rsidP="001537EA">
    <w:pPr>
      <w:pStyle w:val="Header"/>
      <w:rPr>
        <w:color w:val="FFFFFF"/>
        <w:sz w:val="18"/>
        <w:szCs w:val="18"/>
      </w:rPr>
    </w:pPr>
  </w:p>
  <w:p w14:paraId="2B51D1D3" w14:textId="77777777" w:rsidR="008B617E" w:rsidRPr="000D4433" w:rsidRDefault="008B617E" w:rsidP="001537EA">
    <w:pPr>
      <w:pStyle w:val="Header"/>
      <w:rPr>
        <w:color w:val="FFFFFF"/>
        <w:sz w:val="18"/>
        <w:szCs w:val="18"/>
      </w:rPr>
    </w:pPr>
  </w:p>
  <w:p w14:paraId="7CEB5FCB" w14:textId="77777777" w:rsidR="008B617E" w:rsidRPr="000D4433" w:rsidRDefault="008B617E" w:rsidP="001537EA">
    <w:pPr>
      <w:pStyle w:val="Header"/>
      <w:rPr>
        <w:color w:val="FFFFFF"/>
        <w:sz w:val="18"/>
        <w:szCs w:val="18"/>
      </w:rPr>
    </w:pPr>
  </w:p>
  <w:p w14:paraId="6CC6EE46" w14:textId="77777777" w:rsidR="008B617E" w:rsidRPr="000D4433" w:rsidRDefault="008B617E" w:rsidP="001537EA">
    <w:pPr>
      <w:pStyle w:val="Header"/>
      <w:rPr>
        <w:color w:val="FFFFFF"/>
        <w:sz w:val="18"/>
        <w:szCs w:val="18"/>
      </w:rPr>
    </w:pPr>
  </w:p>
  <w:p w14:paraId="26AFD344" w14:textId="77777777" w:rsidR="008B617E" w:rsidRPr="000D4433" w:rsidRDefault="008B617E" w:rsidP="001537EA">
    <w:pPr>
      <w:pStyle w:val="Header"/>
      <w:rPr>
        <w:color w:val="FFFFFF"/>
        <w:sz w:val="18"/>
        <w:szCs w:val="18"/>
      </w:rPr>
    </w:pPr>
  </w:p>
  <w:p w14:paraId="42489778" w14:textId="77777777" w:rsidR="008B617E" w:rsidRPr="000D4433" w:rsidRDefault="008B617E" w:rsidP="001537EA">
    <w:pPr>
      <w:pStyle w:val="Header"/>
      <w:rPr>
        <w:color w:val="FFFFFF"/>
        <w:sz w:val="18"/>
        <w:szCs w:val="18"/>
      </w:rPr>
    </w:pPr>
  </w:p>
  <w:p w14:paraId="75E7A02C" w14:textId="77777777" w:rsidR="008B617E" w:rsidRPr="000D4433" w:rsidRDefault="008B617E" w:rsidP="001537EA">
    <w:pPr>
      <w:pStyle w:val="Header"/>
      <w:rPr>
        <w:color w:val="FFFFFF"/>
        <w:sz w:val="18"/>
        <w:szCs w:val="18"/>
      </w:rPr>
    </w:pPr>
  </w:p>
  <w:p w14:paraId="51F8A00F" w14:textId="77777777" w:rsidR="008B617E" w:rsidRPr="000D4433" w:rsidRDefault="008B617E" w:rsidP="001537EA">
    <w:pPr>
      <w:pStyle w:val="Header"/>
      <w:rPr>
        <w:color w:val="FFFFFF"/>
        <w:sz w:val="18"/>
        <w:szCs w:val="18"/>
      </w:rPr>
    </w:pPr>
  </w:p>
  <w:p w14:paraId="4A2144D4" w14:textId="77777777" w:rsidR="008B617E" w:rsidRPr="000D4433" w:rsidRDefault="008B617E" w:rsidP="001537EA">
    <w:pPr>
      <w:pStyle w:val="Header"/>
      <w:rPr>
        <w:color w:val="FFFFFF"/>
        <w:sz w:val="18"/>
        <w:szCs w:val="18"/>
      </w:rPr>
    </w:pPr>
  </w:p>
  <w:p w14:paraId="795A49A3" w14:textId="77777777" w:rsidR="008B617E" w:rsidRPr="000D4433" w:rsidRDefault="008B617E" w:rsidP="001537EA">
    <w:pPr>
      <w:pStyle w:val="Header"/>
      <w:rPr>
        <w:color w:val="FFFFFF"/>
        <w:sz w:val="18"/>
        <w:szCs w:val="18"/>
      </w:rPr>
    </w:pPr>
  </w:p>
  <w:p w14:paraId="17C7DD24" w14:textId="77777777" w:rsidR="008B617E" w:rsidRPr="000D4433" w:rsidRDefault="008B617E" w:rsidP="001537EA">
    <w:pPr>
      <w:pStyle w:val="Header"/>
      <w:rPr>
        <w:color w:val="FFFFFF"/>
        <w:sz w:val="18"/>
        <w:szCs w:val="18"/>
      </w:rPr>
    </w:pPr>
  </w:p>
  <w:p w14:paraId="697B6958" w14:textId="77777777" w:rsidR="008B617E" w:rsidRPr="000D4433" w:rsidRDefault="008B617E" w:rsidP="001537EA">
    <w:pPr>
      <w:pStyle w:val="Header"/>
      <w:rPr>
        <w:color w:val="FFFFFF"/>
        <w:sz w:val="18"/>
        <w:szCs w:val="18"/>
      </w:rPr>
    </w:pPr>
  </w:p>
  <w:p w14:paraId="3E8548CF" w14:textId="77777777" w:rsidR="008B617E" w:rsidRPr="000D4433" w:rsidRDefault="008B617E" w:rsidP="001537EA">
    <w:pPr>
      <w:pStyle w:val="Header"/>
      <w:rPr>
        <w:color w:val="FFFFFF"/>
        <w:sz w:val="18"/>
        <w:szCs w:val="18"/>
      </w:rPr>
    </w:pPr>
  </w:p>
  <w:p w14:paraId="1A46FFFF" w14:textId="77777777" w:rsidR="008B617E" w:rsidRPr="000D4433" w:rsidRDefault="008B617E" w:rsidP="001537EA">
    <w:pPr>
      <w:pStyle w:val="Header"/>
      <w:rPr>
        <w:color w:val="FFFFFF"/>
        <w:sz w:val="18"/>
        <w:szCs w:val="18"/>
      </w:rPr>
    </w:pPr>
  </w:p>
  <w:p w14:paraId="30D7A876" w14:textId="77777777" w:rsidR="008B617E" w:rsidRPr="000D4433" w:rsidRDefault="008B617E" w:rsidP="001537EA">
    <w:pPr>
      <w:pStyle w:val="Header"/>
      <w:rPr>
        <w:color w:val="FFFFFF"/>
        <w:sz w:val="18"/>
        <w:szCs w:val="18"/>
      </w:rPr>
    </w:pPr>
  </w:p>
  <w:p w14:paraId="5C669400" w14:textId="77777777" w:rsidR="008B617E" w:rsidRPr="000D4433" w:rsidRDefault="008B617E" w:rsidP="001537EA">
    <w:pPr>
      <w:pStyle w:val="Header"/>
      <w:rPr>
        <w:color w:val="FFFFFF"/>
        <w:sz w:val="18"/>
        <w:szCs w:val="18"/>
      </w:rPr>
    </w:pPr>
  </w:p>
  <w:p w14:paraId="6648BBBC" w14:textId="77777777" w:rsidR="008B617E" w:rsidRPr="000D4433" w:rsidRDefault="008B617E" w:rsidP="001537EA">
    <w:pPr>
      <w:pStyle w:val="Header"/>
      <w:rPr>
        <w:color w:val="FFFFFF"/>
        <w:sz w:val="18"/>
        <w:szCs w:val="18"/>
      </w:rPr>
    </w:pPr>
  </w:p>
  <w:p w14:paraId="0F56FF2E" w14:textId="77777777" w:rsidR="008B617E" w:rsidRPr="000D4433" w:rsidRDefault="008B617E" w:rsidP="001537EA">
    <w:pPr>
      <w:pStyle w:val="Header"/>
      <w:rPr>
        <w:color w:val="FFFFFF"/>
        <w:sz w:val="18"/>
        <w:szCs w:val="18"/>
      </w:rPr>
    </w:pPr>
  </w:p>
  <w:p w14:paraId="1788400F" w14:textId="77777777" w:rsidR="008B617E" w:rsidRPr="000D4433" w:rsidRDefault="008B617E" w:rsidP="001537EA">
    <w:pPr>
      <w:pStyle w:val="Header"/>
      <w:rPr>
        <w:color w:val="FFFFFF"/>
        <w:sz w:val="18"/>
        <w:szCs w:val="18"/>
      </w:rPr>
    </w:pPr>
  </w:p>
  <w:p w14:paraId="610E49B4" w14:textId="77777777" w:rsidR="008B617E" w:rsidRPr="000D4433" w:rsidRDefault="008B617E" w:rsidP="001537EA">
    <w:pPr>
      <w:pStyle w:val="Header"/>
      <w:rPr>
        <w:color w:val="FFFFFF"/>
        <w:sz w:val="18"/>
        <w:szCs w:val="18"/>
      </w:rPr>
    </w:pPr>
  </w:p>
  <w:p w14:paraId="7C2E5873" w14:textId="77777777" w:rsidR="008B617E" w:rsidRPr="000D4433" w:rsidRDefault="008B617E" w:rsidP="001537EA">
    <w:pPr>
      <w:pStyle w:val="Header"/>
      <w:rPr>
        <w:color w:val="FFFFFF"/>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B2F5" w14:textId="77777777" w:rsidR="008B617E" w:rsidRDefault="008B617E" w:rsidP="0089222B">
    <w:pPr>
      <w:pStyle w:val="Header"/>
    </w:pPr>
    <w:r>
      <w:rPr>
        <w:lang w:val="en-US"/>
      </w:rPr>
      <w:drawing>
        <wp:anchor distT="0" distB="828040" distL="114300" distR="114300" simplePos="0" relativeHeight="251659264" behindDoc="0" locked="0" layoutInCell="1" allowOverlap="1" wp14:anchorId="3A710F30" wp14:editId="1E607EF4">
          <wp:simplePos x="0" y="0"/>
          <wp:positionH relativeFrom="page">
            <wp:posOffset>651933</wp:posOffset>
          </wp:positionH>
          <wp:positionV relativeFrom="page">
            <wp:posOffset>541961</wp:posOffset>
          </wp:positionV>
          <wp:extent cx="2133600" cy="933262"/>
          <wp:effectExtent l="0" t="0" r="0" b="635"/>
          <wp:wrapTopAndBottom/>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319A" w14:textId="77777777" w:rsidR="008B617E" w:rsidRDefault="008B6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15EF315A"/>
    <w:multiLevelType w:val="multilevel"/>
    <w:tmpl w:val="CD107930"/>
    <w:name w:val="etfNumbers"/>
    <w:lvl w:ilvl="0">
      <w:start w:val="1"/>
      <w:numFmt w:val="decimal"/>
      <w:pStyle w:val="ListNumber"/>
      <w:lvlText w:val="%1."/>
      <w:lvlJc w:val="left"/>
      <w:pPr>
        <w:ind w:left="397" w:hanging="397"/>
      </w:pPr>
      <w:rPr>
        <w:rFonts w:hint="default"/>
        <w:color w:val="616264" w:themeColor="text2"/>
      </w:rPr>
    </w:lvl>
    <w:lvl w:ilvl="1">
      <w:start w:val="1"/>
      <w:numFmt w:val="decimal"/>
      <w:pStyle w:val="ListNumber2"/>
      <w:lvlText w:val="%2."/>
      <w:lvlJc w:val="left"/>
      <w:pPr>
        <w:ind w:left="794" w:hanging="397"/>
      </w:pPr>
      <w:rPr>
        <w:rFonts w:hint="default"/>
        <w:color w:val="616264"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7" w15:restartNumberingAfterBreak="0">
    <w:nsid w:val="1C6C139F"/>
    <w:multiLevelType w:val="hybridMultilevel"/>
    <w:tmpl w:val="9B6C1D44"/>
    <w:lvl w:ilvl="0" w:tplc="B9F444BA">
      <w:start w:val="1"/>
      <w:numFmt w:val="decimal"/>
      <w:lvlText w:val="2.%1."/>
      <w:lvlJc w:val="left"/>
      <w:pPr>
        <w:ind w:left="720" w:hanging="360"/>
      </w:pPr>
      <w:rPr>
        <w:rFonts w:hint="default"/>
        <w:b/>
      </w:rPr>
    </w:lvl>
    <w:lvl w:ilvl="1" w:tplc="32D8E5D0">
      <w:start w:val="1"/>
      <w:numFmt w:val="decimal"/>
      <w:lvlText w:val="2.%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5386A"/>
    <w:multiLevelType w:val="hybridMultilevel"/>
    <w:tmpl w:val="07DE0E3E"/>
    <w:lvl w:ilvl="0" w:tplc="78A4CF74">
      <w:start w:val="1"/>
      <w:numFmt w:val="bullet"/>
      <w:lvlText w:val="■"/>
      <w:lvlJc w:val="left"/>
      <w:pPr>
        <w:ind w:left="357" w:hanging="360"/>
      </w:pPr>
      <w:rPr>
        <w:rFonts w:hint="default"/>
        <w:color w:val="00B0F0"/>
        <w:u w:color="DC006B"/>
      </w:rPr>
    </w:lvl>
    <w:lvl w:ilvl="1" w:tplc="FFFFFFFF">
      <w:start w:val="1"/>
      <w:numFmt w:val="bullet"/>
      <w:lvlText w:val="o"/>
      <w:lvlJc w:val="left"/>
      <w:pPr>
        <w:ind w:left="1077" w:hanging="360"/>
      </w:pPr>
      <w:rPr>
        <w:rFonts w:ascii="Courier New" w:hAnsi="Courier New" w:cs="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cs="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cs="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9" w15:restartNumberingAfterBreak="0">
    <w:nsid w:val="1FD55C59"/>
    <w:multiLevelType w:val="multilevel"/>
    <w:tmpl w:val="B48E2C6A"/>
    <w:lvl w:ilvl="0">
      <w:start w:val="1"/>
      <w:numFmt w:val="decimal"/>
      <w:lvlText w:val="%1."/>
      <w:lvlJc w:val="left"/>
      <w:pPr>
        <w:ind w:left="720" w:hanging="360"/>
      </w:pPr>
      <w:rPr>
        <w:rFonts w:ascii="Arial" w:hAnsi="Arial" w:cs="Arial" w:hint="default"/>
        <w:b/>
        <w:i w:val="0"/>
        <w:sz w:val="3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98C1267"/>
    <w:multiLevelType w:val="hybridMultilevel"/>
    <w:tmpl w:val="4B84990A"/>
    <w:lvl w:ilvl="0" w:tplc="78A4CF74">
      <w:start w:val="1"/>
      <w:numFmt w:val="bullet"/>
      <w:lvlText w:val="■"/>
      <w:lvlJc w:val="left"/>
      <w:pPr>
        <w:ind w:left="360" w:hanging="360"/>
      </w:pPr>
      <w:rPr>
        <w:rFonts w:hint="default"/>
        <w:color w:val="00B0F0"/>
        <w:u w:color="DC006B"/>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55E0263"/>
    <w:multiLevelType w:val="hybridMultilevel"/>
    <w:tmpl w:val="684ECE0E"/>
    <w:lvl w:ilvl="0" w:tplc="3DD6CAE0">
      <w:start w:val="1"/>
      <w:numFmt w:val="decimal"/>
      <w:lvlText w:val="1.%1."/>
      <w:lvlJc w:val="left"/>
      <w:pPr>
        <w:ind w:left="720" w:hanging="360"/>
      </w:pPr>
      <w:rPr>
        <w:rFonts w:hint="default"/>
        <w:b/>
      </w:rPr>
    </w:lvl>
    <w:lvl w:ilvl="1" w:tplc="990E596E">
      <w:start w:val="1"/>
      <w:numFmt w:val="decimal"/>
      <w:lvlText w:val="1.%2."/>
      <w:lvlJc w:val="left"/>
      <w:pPr>
        <w:ind w:left="1440" w:hanging="360"/>
      </w:pPr>
      <w:rPr>
        <w:rFonts w:hint="default"/>
        <w:b w:val="0"/>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E0535"/>
    <w:multiLevelType w:val="multilevel"/>
    <w:tmpl w:val="1B000E2A"/>
    <w:name w:val="etfBullets"/>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CDA"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616264"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5D583D31"/>
    <w:multiLevelType w:val="hybridMultilevel"/>
    <w:tmpl w:val="931CFF7E"/>
    <w:lvl w:ilvl="0" w:tplc="78A4CF74">
      <w:start w:val="1"/>
      <w:numFmt w:val="bullet"/>
      <w:lvlText w:val="■"/>
      <w:lvlJc w:val="left"/>
      <w:pPr>
        <w:ind w:left="360" w:hanging="360"/>
      </w:pPr>
      <w:rPr>
        <w:rFonts w:hint="default"/>
        <w:color w:val="00B0F0"/>
        <w:u w:color="DC006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8"/>
  </w:num>
  <w:num w:numId="10">
    <w:abstractNumId w:val="10"/>
  </w:num>
  <w:num w:numId="11">
    <w:abstractNumId w:val="13"/>
  </w:num>
  <w:num w:numId="12">
    <w:abstractNumId w:val="9"/>
  </w:num>
  <w:num w:numId="13">
    <w:abstractNumId w:val="1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00"/>
  <w:displayHorizontalDrawingGridEvery w:val="2"/>
  <w:characterSpacingControl w:val="doNotCompress"/>
  <w:hdrShapeDefaults>
    <o:shapedefaults v:ext="edit" spidmax="4097"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00"/>
    <w:rsid w:val="0000001F"/>
    <w:rsid w:val="0000085E"/>
    <w:rsid w:val="000008A5"/>
    <w:rsid w:val="00001D0F"/>
    <w:rsid w:val="000042F5"/>
    <w:rsid w:val="000112A1"/>
    <w:rsid w:val="00011B91"/>
    <w:rsid w:val="00011DA8"/>
    <w:rsid w:val="00023E0C"/>
    <w:rsid w:val="00026575"/>
    <w:rsid w:val="000326D2"/>
    <w:rsid w:val="0003397E"/>
    <w:rsid w:val="00034C11"/>
    <w:rsid w:val="00037504"/>
    <w:rsid w:val="0004061E"/>
    <w:rsid w:val="00040CE3"/>
    <w:rsid w:val="00042E1A"/>
    <w:rsid w:val="0004426C"/>
    <w:rsid w:val="00045BAC"/>
    <w:rsid w:val="00046903"/>
    <w:rsid w:val="00046999"/>
    <w:rsid w:val="00051A6F"/>
    <w:rsid w:val="000547D7"/>
    <w:rsid w:val="0006030D"/>
    <w:rsid w:val="00061FBC"/>
    <w:rsid w:val="00062678"/>
    <w:rsid w:val="0009004C"/>
    <w:rsid w:val="00090434"/>
    <w:rsid w:val="0009284D"/>
    <w:rsid w:val="000946DB"/>
    <w:rsid w:val="00094769"/>
    <w:rsid w:val="00096494"/>
    <w:rsid w:val="000A7EEE"/>
    <w:rsid w:val="000B0155"/>
    <w:rsid w:val="000B377F"/>
    <w:rsid w:val="000B46B6"/>
    <w:rsid w:val="000B49F7"/>
    <w:rsid w:val="000C1E11"/>
    <w:rsid w:val="000C1E9B"/>
    <w:rsid w:val="000C2CDF"/>
    <w:rsid w:val="000C2DA2"/>
    <w:rsid w:val="000C68AD"/>
    <w:rsid w:val="000D1FCA"/>
    <w:rsid w:val="000D4433"/>
    <w:rsid w:val="000D5434"/>
    <w:rsid w:val="000D54A3"/>
    <w:rsid w:val="000D59BE"/>
    <w:rsid w:val="000E139F"/>
    <w:rsid w:val="000F14A2"/>
    <w:rsid w:val="000F229F"/>
    <w:rsid w:val="000F37E4"/>
    <w:rsid w:val="000F4F83"/>
    <w:rsid w:val="000F5B1D"/>
    <w:rsid w:val="0010279B"/>
    <w:rsid w:val="0010743C"/>
    <w:rsid w:val="001143A7"/>
    <w:rsid w:val="001148D4"/>
    <w:rsid w:val="001158E0"/>
    <w:rsid w:val="00117609"/>
    <w:rsid w:val="001239FE"/>
    <w:rsid w:val="0012406B"/>
    <w:rsid w:val="001278DE"/>
    <w:rsid w:val="00127B57"/>
    <w:rsid w:val="0013051D"/>
    <w:rsid w:val="0013658F"/>
    <w:rsid w:val="00137C85"/>
    <w:rsid w:val="001405DD"/>
    <w:rsid w:val="0014254A"/>
    <w:rsid w:val="00143F62"/>
    <w:rsid w:val="00145483"/>
    <w:rsid w:val="00146D06"/>
    <w:rsid w:val="001505AE"/>
    <w:rsid w:val="001537EA"/>
    <w:rsid w:val="00154B83"/>
    <w:rsid w:val="0015504D"/>
    <w:rsid w:val="00155603"/>
    <w:rsid w:val="00156998"/>
    <w:rsid w:val="00157447"/>
    <w:rsid w:val="00160121"/>
    <w:rsid w:val="00162576"/>
    <w:rsid w:val="0016358D"/>
    <w:rsid w:val="0016391D"/>
    <w:rsid w:val="001640CE"/>
    <w:rsid w:val="001710B8"/>
    <w:rsid w:val="00172D1D"/>
    <w:rsid w:val="00175568"/>
    <w:rsid w:val="00175E26"/>
    <w:rsid w:val="001760DB"/>
    <w:rsid w:val="00176DA4"/>
    <w:rsid w:val="00177B7D"/>
    <w:rsid w:val="00183C4E"/>
    <w:rsid w:val="00185F0A"/>
    <w:rsid w:val="00186414"/>
    <w:rsid w:val="0019071B"/>
    <w:rsid w:val="00192BE6"/>
    <w:rsid w:val="00195C5B"/>
    <w:rsid w:val="001A2C75"/>
    <w:rsid w:val="001A5205"/>
    <w:rsid w:val="001B33BA"/>
    <w:rsid w:val="001B3E29"/>
    <w:rsid w:val="001B6DFD"/>
    <w:rsid w:val="001C0029"/>
    <w:rsid w:val="001C0C37"/>
    <w:rsid w:val="001C4B9D"/>
    <w:rsid w:val="001C6D53"/>
    <w:rsid w:val="001D1B56"/>
    <w:rsid w:val="001D5220"/>
    <w:rsid w:val="001D787B"/>
    <w:rsid w:val="001E09DF"/>
    <w:rsid w:val="001E58DB"/>
    <w:rsid w:val="001E5DD0"/>
    <w:rsid w:val="001E637D"/>
    <w:rsid w:val="001E74F9"/>
    <w:rsid w:val="001F1ACB"/>
    <w:rsid w:val="00202791"/>
    <w:rsid w:val="0021065B"/>
    <w:rsid w:val="002140DF"/>
    <w:rsid w:val="00220BB3"/>
    <w:rsid w:val="00222DCD"/>
    <w:rsid w:val="00224054"/>
    <w:rsid w:val="002241B3"/>
    <w:rsid w:val="002278AB"/>
    <w:rsid w:val="002376BC"/>
    <w:rsid w:val="00237EF9"/>
    <w:rsid w:val="00242451"/>
    <w:rsid w:val="002429E4"/>
    <w:rsid w:val="00251125"/>
    <w:rsid w:val="002511EB"/>
    <w:rsid w:val="00253294"/>
    <w:rsid w:val="002551A8"/>
    <w:rsid w:val="002568E9"/>
    <w:rsid w:val="0026148A"/>
    <w:rsid w:val="00262AE5"/>
    <w:rsid w:val="00264691"/>
    <w:rsid w:val="002662D1"/>
    <w:rsid w:val="0027072F"/>
    <w:rsid w:val="00270A33"/>
    <w:rsid w:val="002719E0"/>
    <w:rsid w:val="0027262B"/>
    <w:rsid w:val="00273FED"/>
    <w:rsid w:val="00274400"/>
    <w:rsid w:val="00276282"/>
    <w:rsid w:val="00276BE6"/>
    <w:rsid w:val="002777A9"/>
    <w:rsid w:val="00282A22"/>
    <w:rsid w:val="00284DD5"/>
    <w:rsid w:val="00286DD7"/>
    <w:rsid w:val="00286FA1"/>
    <w:rsid w:val="002871D5"/>
    <w:rsid w:val="002903B9"/>
    <w:rsid w:val="00292D98"/>
    <w:rsid w:val="002A1A51"/>
    <w:rsid w:val="002A4D06"/>
    <w:rsid w:val="002A512E"/>
    <w:rsid w:val="002A7743"/>
    <w:rsid w:val="002B00BA"/>
    <w:rsid w:val="002B1A00"/>
    <w:rsid w:val="002B6416"/>
    <w:rsid w:val="002B7285"/>
    <w:rsid w:val="002C404A"/>
    <w:rsid w:val="002C4AB2"/>
    <w:rsid w:val="002C5D1E"/>
    <w:rsid w:val="002C6BD2"/>
    <w:rsid w:val="002C6E16"/>
    <w:rsid w:val="002C7928"/>
    <w:rsid w:val="002D327C"/>
    <w:rsid w:val="002D5B3F"/>
    <w:rsid w:val="002E1053"/>
    <w:rsid w:val="002E2E28"/>
    <w:rsid w:val="002E3F12"/>
    <w:rsid w:val="002E5FE1"/>
    <w:rsid w:val="002F0826"/>
    <w:rsid w:val="002F57CC"/>
    <w:rsid w:val="0030280B"/>
    <w:rsid w:val="00302F6F"/>
    <w:rsid w:val="00305AD0"/>
    <w:rsid w:val="00305E02"/>
    <w:rsid w:val="00310F37"/>
    <w:rsid w:val="0031231C"/>
    <w:rsid w:val="00321AC0"/>
    <w:rsid w:val="00322288"/>
    <w:rsid w:val="0032577B"/>
    <w:rsid w:val="003376F1"/>
    <w:rsid w:val="00341326"/>
    <w:rsid w:val="00346FF9"/>
    <w:rsid w:val="00350BA4"/>
    <w:rsid w:val="0035168B"/>
    <w:rsid w:val="0035491B"/>
    <w:rsid w:val="00354E6B"/>
    <w:rsid w:val="003560AE"/>
    <w:rsid w:val="0036028B"/>
    <w:rsid w:val="0036099B"/>
    <w:rsid w:val="0036369C"/>
    <w:rsid w:val="00366262"/>
    <w:rsid w:val="003706EB"/>
    <w:rsid w:val="00372ED9"/>
    <w:rsid w:val="00372FF3"/>
    <w:rsid w:val="003744CE"/>
    <w:rsid w:val="00375900"/>
    <w:rsid w:val="00375F26"/>
    <w:rsid w:val="003840D7"/>
    <w:rsid w:val="00384DFC"/>
    <w:rsid w:val="0038675A"/>
    <w:rsid w:val="003869A7"/>
    <w:rsid w:val="0039025F"/>
    <w:rsid w:val="00390DA5"/>
    <w:rsid w:val="00390E28"/>
    <w:rsid w:val="00395021"/>
    <w:rsid w:val="003955E0"/>
    <w:rsid w:val="00395B99"/>
    <w:rsid w:val="003965EB"/>
    <w:rsid w:val="003A0586"/>
    <w:rsid w:val="003A23C3"/>
    <w:rsid w:val="003A659F"/>
    <w:rsid w:val="003B00B3"/>
    <w:rsid w:val="003B0F9A"/>
    <w:rsid w:val="003B3EE8"/>
    <w:rsid w:val="003C5734"/>
    <w:rsid w:val="003C714F"/>
    <w:rsid w:val="003D07A4"/>
    <w:rsid w:val="003D2B26"/>
    <w:rsid w:val="003D506A"/>
    <w:rsid w:val="003D7B0F"/>
    <w:rsid w:val="003E51D3"/>
    <w:rsid w:val="003E6DB7"/>
    <w:rsid w:val="003F2184"/>
    <w:rsid w:val="003F2DEE"/>
    <w:rsid w:val="003F44E3"/>
    <w:rsid w:val="003F68C3"/>
    <w:rsid w:val="0040089B"/>
    <w:rsid w:val="00406469"/>
    <w:rsid w:val="00412759"/>
    <w:rsid w:val="00415580"/>
    <w:rsid w:val="00416AC1"/>
    <w:rsid w:val="004231BC"/>
    <w:rsid w:val="00425D3E"/>
    <w:rsid w:val="00434E50"/>
    <w:rsid w:val="004440FB"/>
    <w:rsid w:val="004455E2"/>
    <w:rsid w:val="004459AC"/>
    <w:rsid w:val="00446EAC"/>
    <w:rsid w:val="00447892"/>
    <w:rsid w:val="00451F0F"/>
    <w:rsid w:val="00452E28"/>
    <w:rsid w:val="0045435E"/>
    <w:rsid w:val="00455DC5"/>
    <w:rsid w:val="00470F22"/>
    <w:rsid w:val="0047108E"/>
    <w:rsid w:val="00477482"/>
    <w:rsid w:val="004833B4"/>
    <w:rsid w:val="0048543F"/>
    <w:rsid w:val="00485946"/>
    <w:rsid w:val="004865F3"/>
    <w:rsid w:val="00491FC9"/>
    <w:rsid w:val="004A3D3D"/>
    <w:rsid w:val="004A518F"/>
    <w:rsid w:val="004A6405"/>
    <w:rsid w:val="004B1B7B"/>
    <w:rsid w:val="004B770B"/>
    <w:rsid w:val="004C2551"/>
    <w:rsid w:val="004C7F05"/>
    <w:rsid w:val="004C7F79"/>
    <w:rsid w:val="004D061A"/>
    <w:rsid w:val="004D2028"/>
    <w:rsid w:val="004D4D72"/>
    <w:rsid w:val="004D6EF3"/>
    <w:rsid w:val="004D73F2"/>
    <w:rsid w:val="004E0B6A"/>
    <w:rsid w:val="004E0EA3"/>
    <w:rsid w:val="004E3E09"/>
    <w:rsid w:val="004E44B6"/>
    <w:rsid w:val="004F102E"/>
    <w:rsid w:val="004F35DD"/>
    <w:rsid w:val="004F7BD5"/>
    <w:rsid w:val="00500315"/>
    <w:rsid w:val="0050332E"/>
    <w:rsid w:val="0050573E"/>
    <w:rsid w:val="00511CD0"/>
    <w:rsid w:val="0051645B"/>
    <w:rsid w:val="0052315F"/>
    <w:rsid w:val="00523390"/>
    <w:rsid w:val="00524A1F"/>
    <w:rsid w:val="005321D0"/>
    <w:rsid w:val="00537132"/>
    <w:rsid w:val="00537C96"/>
    <w:rsid w:val="00537F6D"/>
    <w:rsid w:val="0054048E"/>
    <w:rsid w:val="00543B98"/>
    <w:rsid w:val="00544688"/>
    <w:rsid w:val="005513E9"/>
    <w:rsid w:val="005513EB"/>
    <w:rsid w:val="00551A66"/>
    <w:rsid w:val="005549F3"/>
    <w:rsid w:val="005566FB"/>
    <w:rsid w:val="005573AF"/>
    <w:rsid w:val="00566CAF"/>
    <w:rsid w:val="0056786B"/>
    <w:rsid w:val="00571D28"/>
    <w:rsid w:val="00572C45"/>
    <w:rsid w:val="00574008"/>
    <w:rsid w:val="00576DCB"/>
    <w:rsid w:val="005810A5"/>
    <w:rsid w:val="005823D5"/>
    <w:rsid w:val="00582640"/>
    <w:rsid w:val="00582C48"/>
    <w:rsid w:val="005838EA"/>
    <w:rsid w:val="00585EBD"/>
    <w:rsid w:val="00586FE8"/>
    <w:rsid w:val="00587ADF"/>
    <w:rsid w:val="005915CD"/>
    <w:rsid w:val="00596488"/>
    <w:rsid w:val="005A0A3A"/>
    <w:rsid w:val="005A551D"/>
    <w:rsid w:val="005A5901"/>
    <w:rsid w:val="005A616D"/>
    <w:rsid w:val="005A6ABD"/>
    <w:rsid w:val="005B2E01"/>
    <w:rsid w:val="005B69D1"/>
    <w:rsid w:val="005C0901"/>
    <w:rsid w:val="005C36A6"/>
    <w:rsid w:val="005C5B22"/>
    <w:rsid w:val="005C6181"/>
    <w:rsid w:val="005C65BE"/>
    <w:rsid w:val="005D02B9"/>
    <w:rsid w:val="005D3BF2"/>
    <w:rsid w:val="005D5047"/>
    <w:rsid w:val="005D7897"/>
    <w:rsid w:val="005D79EA"/>
    <w:rsid w:val="005E1F67"/>
    <w:rsid w:val="005E23A1"/>
    <w:rsid w:val="005E61F9"/>
    <w:rsid w:val="005E63FB"/>
    <w:rsid w:val="005E72BF"/>
    <w:rsid w:val="0061174E"/>
    <w:rsid w:val="00612009"/>
    <w:rsid w:val="0061752C"/>
    <w:rsid w:val="00620951"/>
    <w:rsid w:val="0062386D"/>
    <w:rsid w:val="0062408B"/>
    <w:rsid w:val="00624FF9"/>
    <w:rsid w:val="00625452"/>
    <w:rsid w:val="006259FF"/>
    <w:rsid w:val="0063608A"/>
    <w:rsid w:val="00636CF0"/>
    <w:rsid w:val="006406AF"/>
    <w:rsid w:val="00640EC2"/>
    <w:rsid w:val="006412E5"/>
    <w:rsid w:val="0064384D"/>
    <w:rsid w:val="00653E70"/>
    <w:rsid w:val="006553BC"/>
    <w:rsid w:val="0066183D"/>
    <w:rsid w:val="00670796"/>
    <w:rsid w:val="0067124C"/>
    <w:rsid w:val="00671F86"/>
    <w:rsid w:val="00673851"/>
    <w:rsid w:val="00674A7E"/>
    <w:rsid w:val="00675AB2"/>
    <w:rsid w:val="00676206"/>
    <w:rsid w:val="00676F8D"/>
    <w:rsid w:val="0067795E"/>
    <w:rsid w:val="00680023"/>
    <w:rsid w:val="00680A76"/>
    <w:rsid w:val="00681D59"/>
    <w:rsid w:val="00682893"/>
    <w:rsid w:val="006865F7"/>
    <w:rsid w:val="00687CA0"/>
    <w:rsid w:val="006902A9"/>
    <w:rsid w:val="00690BC2"/>
    <w:rsid w:val="00692B93"/>
    <w:rsid w:val="006949E0"/>
    <w:rsid w:val="00694F83"/>
    <w:rsid w:val="00696223"/>
    <w:rsid w:val="00696C17"/>
    <w:rsid w:val="006A20CD"/>
    <w:rsid w:val="006A511E"/>
    <w:rsid w:val="006B1A4E"/>
    <w:rsid w:val="006B21CD"/>
    <w:rsid w:val="006B4120"/>
    <w:rsid w:val="006B750B"/>
    <w:rsid w:val="006C0AF8"/>
    <w:rsid w:val="006C0EF9"/>
    <w:rsid w:val="006C31EA"/>
    <w:rsid w:val="006C320A"/>
    <w:rsid w:val="006C3D0E"/>
    <w:rsid w:val="006D34D9"/>
    <w:rsid w:val="006D7DB1"/>
    <w:rsid w:val="006E04ED"/>
    <w:rsid w:val="006E10D9"/>
    <w:rsid w:val="006E18B9"/>
    <w:rsid w:val="006E7FD7"/>
    <w:rsid w:val="006F3D92"/>
    <w:rsid w:val="006F405C"/>
    <w:rsid w:val="00701562"/>
    <w:rsid w:val="00701AE0"/>
    <w:rsid w:val="00703DD6"/>
    <w:rsid w:val="007076F4"/>
    <w:rsid w:val="00712960"/>
    <w:rsid w:val="0072014B"/>
    <w:rsid w:val="0072400B"/>
    <w:rsid w:val="00731269"/>
    <w:rsid w:val="00733441"/>
    <w:rsid w:val="007344AD"/>
    <w:rsid w:val="00735349"/>
    <w:rsid w:val="007409C8"/>
    <w:rsid w:val="00740B76"/>
    <w:rsid w:val="00742C4D"/>
    <w:rsid w:val="0074533B"/>
    <w:rsid w:val="00752631"/>
    <w:rsid w:val="0075461F"/>
    <w:rsid w:val="007553CB"/>
    <w:rsid w:val="00756981"/>
    <w:rsid w:val="00760E17"/>
    <w:rsid w:val="0076143C"/>
    <w:rsid w:val="00764196"/>
    <w:rsid w:val="007714B0"/>
    <w:rsid w:val="007746B7"/>
    <w:rsid w:val="0077620F"/>
    <w:rsid w:val="00780E2E"/>
    <w:rsid w:val="0078355E"/>
    <w:rsid w:val="00785089"/>
    <w:rsid w:val="0079461C"/>
    <w:rsid w:val="007A00F8"/>
    <w:rsid w:val="007A7152"/>
    <w:rsid w:val="007B1B33"/>
    <w:rsid w:val="007B32E8"/>
    <w:rsid w:val="007B4C1D"/>
    <w:rsid w:val="007C159B"/>
    <w:rsid w:val="007C566C"/>
    <w:rsid w:val="007D0FAD"/>
    <w:rsid w:val="007D176A"/>
    <w:rsid w:val="007D1D53"/>
    <w:rsid w:val="007D1F87"/>
    <w:rsid w:val="007D6989"/>
    <w:rsid w:val="007D7DF1"/>
    <w:rsid w:val="007E32C6"/>
    <w:rsid w:val="007E333A"/>
    <w:rsid w:val="007E4A0B"/>
    <w:rsid w:val="007F35AA"/>
    <w:rsid w:val="007F54AD"/>
    <w:rsid w:val="00800F82"/>
    <w:rsid w:val="008033CE"/>
    <w:rsid w:val="00806877"/>
    <w:rsid w:val="00806F75"/>
    <w:rsid w:val="0080714B"/>
    <w:rsid w:val="008076DE"/>
    <w:rsid w:val="008204EB"/>
    <w:rsid w:val="00821521"/>
    <w:rsid w:val="00826423"/>
    <w:rsid w:val="00835478"/>
    <w:rsid w:val="008420E2"/>
    <w:rsid w:val="008428E9"/>
    <w:rsid w:val="008440B4"/>
    <w:rsid w:val="00844EF6"/>
    <w:rsid w:val="00845C42"/>
    <w:rsid w:val="008511FA"/>
    <w:rsid w:val="008519B7"/>
    <w:rsid w:val="00852726"/>
    <w:rsid w:val="008529AE"/>
    <w:rsid w:val="00864153"/>
    <w:rsid w:val="0087055B"/>
    <w:rsid w:val="0087336F"/>
    <w:rsid w:val="00873597"/>
    <w:rsid w:val="0087390C"/>
    <w:rsid w:val="008758CD"/>
    <w:rsid w:val="00883357"/>
    <w:rsid w:val="00883F5C"/>
    <w:rsid w:val="008871B3"/>
    <w:rsid w:val="00887D62"/>
    <w:rsid w:val="00891564"/>
    <w:rsid w:val="0089222B"/>
    <w:rsid w:val="008928EC"/>
    <w:rsid w:val="008A2C7E"/>
    <w:rsid w:val="008A3517"/>
    <w:rsid w:val="008A4A77"/>
    <w:rsid w:val="008B567E"/>
    <w:rsid w:val="008B59ED"/>
    <w:rsid w:val="008B617E"/>
    <w:rsid w:val="008B74B6"/>
    <w:rsid w:val="008C11D2"/>
    <w:rsid w:val="008C3259"/>
    <w:rsid w:val="008C6F93"/>
    <w:rsid w:val="008C7CE1"/>
    <w:rsid w:val="008D31EC"/>
    <w:rsid w:val="008D69D0"/>
    <w:rsid w:val="008E131D"/>
    <w:rsid w:val="008E1B8D"/>
    <w:rsid w:val="008E22A7"/>
    <w:rsid w:val="008E69C6"/>
    <w:rsid w:val="008E7353"/>
    <w:rsid w:val="008E7E2C"/>
    <w:rsid w:val="008F3D37"/>
    <w:rsid w:val="008F3D71"/>
    <w:rsid w:val="008F5C7B"/>
    <w:rsid w:val="009062D5"/>
    <w:rsid w:val="00911026"/>
    <w:rsid w:val="009113C2"/>
    <w:rsid w:val="00911C3A"/>
    <w:rsid w:val="009143CA"/>
    <w:rsid w:val="0091701A"/>
    <w:rsid w:val="00921EA9"/>
    <w:rsid w:val="00922E6C"/>
    <w:rsid w:val="0092797E"/>
    <w:rsid w:val="009378E5"/>
    <w:rsid w:val="00943DED"/>
    <w:rsid w:val="00945FE3"/>
    <w:rsid w:val="00946A12"/>
    <w:rsid w:val="00950B30"/>
    <w:rsid w:val="00954FD2"/>
    <w:rsid w:val="00957D65"/>
    <w:rsid w:val="0096113F"/>
    <w:rsid w:val="00961951"/>
    <w:rsid w:val="009634C9"/>
    <w:rsid w:val="00964316"/>
    <w:rsid w:val="00971373"/>
    <w:rsid w:val="0097562F"/>
    <w:rsid w:val="0097566B"/>
    <w:rsid w:val="009774F9"/>
    <w:rsid w:val="00981B1D"/>
    <w:rsid w:val="0098315F"/>
    <w:rsid w:val="00984A41"/>
    <w:rsid w:val="00991645"/>
    <w:rsid w:val="00992B65"/>
    <w:rsid w:val="0099375F"/>
    <w:rsid w:val="00993800"/>
    <w:rsid w:val="009943BE"/>
    <w:rsid w:val="009A05C5"/>
    <w:rsid w:val="009A293C"/>
    <w:rsid w:val="009A2BD8"/>
    <w:rsid w:val="009A3993"/>
    <w:rsid w:val="009A5C11"/>
    <w:rsid w:val="009B1347"/>
    <w:rsid w:val="009B2519"/>
    <w:rsid w:val="009B6656"/>
    <w:rsid w:val="009B71C0"/>
    <w:rsid w:val="009B7456"/>
    <w:rsid w:val="009B779A"/>
    <w:rsid w:val="009C0D0F"/>
    <w:rsid w:val="009C3680"/>
    <w:rsid w:val="009C4A05"/>
    <w:rsid w:val="009C6528"/>
    <w:rsid w:val="009D1F07"/>
    <w:rsid w:val="009D3265"/>
    <w:rsid w:val="009D5486"/>
    <w:rsid w:val="009D7B24"/>
    <w:rsid w:val="009E05E9"/>
    <w:rsid w:val="009E3935"/>
    <w:rsid w:val="009E3DA7"/>
    <w:rsid w:val="009E632B"/>
    <w:rsid w:val="009F1238"/>
    <w:rsid w:val="009F4DC0"/>
    <w:rsid w:val="00A001E4"/>
    <w:rsid w:val="00A01C1C"/>
    <w:rsid w:val="00A11BF7"/>
    <w:rsid w:val="00A13093"/>
    <w:rsid w:val="00A154E3"/>
    <w:rsid w:val="00A20E31"/>
    <w:rsid w:val="00A26450"/>
    <w:rsid w:val="00A2742E"/>
    <w:rsid w:val="00A31CF9"/>
    <w:rsid w:val="00A325C0"/>
    <w:rsid w:val="00A36547"/>
    <w:rsid w:val="00A41D29"/>
    <w:rsid w:val="00A42522"/>
    <w:rsid w:val="00A47097"/>
    <w:rsid w:val="00A51588"/>
    <w:rsid w:val="00A530DC"/>
    <w:rsid w:val="00A54F7B"/>
    <w:rsid w:val="00A56B81"/>
    <w:rsid w:val="00A603B6"/>
    <w:rsid w:val="00A60F1D"/>
    <w:rsid w:val="00A62ADB"/>
    <w:rsid w:val="00A714C3"/>
    <w:rsid w:val="00A72989"/>
    <w:rsid w:val="00A72AB7"/>
    <w:rsid w:val="00A74221"/>
    <w:rsid w:val="00A77F46"/>
    <w:rsid w:val="00A8000F"/>
    <w:rsid w:val="00A84267"/>
    <w:rsid w:val="00A872E5"/>
    <w:rsid w:val="00A87FB3"/>
    <w:rsid w:val="00A91892"/>
    <w:rsid w:val="00A93EA8"/>
    <w:rsid w:val="00A94867"/>
    <w:rsid w:val="00AA0146"/>
    <w:rsid w:val="00AA0E21"/>
    <w:rsid w:val="00AA2436"/>
    <w:rsid w:val="00AA380A"/>
    <w:rsid w:val="00AA38CE"/>
    <w:rsid w:val="00AA5D17"/>
    <w:rsid w:val="00AA61AD"/>
    <w:rsid w:val="00AA733C"/>
    <w:rsid w:val="00AB0D45"/>
    <w:rsid w:val="00AB228C"/>
    <w:rsid w:val="00AB2B7C"/>
    <w:rsid w:val="00AB55F7"/>
    <w:rsid w:val="00AC095F"/>
    <w:rsid w:val="00AC147C"/>
    <w:rsid w:val="00AC18F2"/>
    <w:rsid w:val="00AC538A"/>
    <w:rsid w:val="00AC70E4"/>
    <w:rsid w:val="00AD02B3"/>
    <w:rsid w:val="00AD14EC"/>
    <w:rsid w:val="00AD203A"/>
    <w:rsid w:val="00AD5EF2"/>
    <w:rsid w:val="00AD6421"/>
    <w:rsid w:val="00AD7991"/>
    <w:rsid w:val="00AD7BF7"/>
    <w:rsid w:val="00AE0EFC"/>
    <w:rsid w:val="00AE22B3"/>
    <w:rsid w:val="00AE4B3E"/>
    <w:rsid w:val="00AE5152"/>
    <w:rsid w:val="00AE5E2A"/>
    <w:rsid w:val="00AF2F70"/>
    <w:rsid w:val="00AF3373"/>
    <w:rsid w:val="00AF483F"/>
    <w:rsid w:val="00AF646B"/>
    <w:rsid w:val="00AF67BB"/>
    <w:rsid w:val="00B10964"/>
    <w:rsid w:val="00B16D2F"/>
    <w:rsid w:val="00B17606"/>
    <w:rsid w:val="00B17C15"/>
    <w:rsid w:val="00B200E5"/>
    <w:rsid w:val="00B2355F"/>
    <w:rsid w:val="00B24FFF"/>
    <w:rsid w:val="00B25B35"/>
    <w:rsid w:val="00B2637F"/>
    <w:rsid w:val="00B31B0D"/>
    <w:rsid w:val="00B336A9"/>
    <w:rsid w:val="00B353C5"/>
    <w:rsid w:val="00B407E0"/>
    <w:rsid w:val="00B42E22"/>
    <w:rsid w:val="00B4461C"/>
    <w:rsid w:val="00B45532"/>
    <w:rsid w:val="00B47C6C"/>
    <w:rsid w:val="00B47F32"/>
    <w:rsid w:val="00B5229B"/>
    <w:rsid w:val="00B55ACD"/>
    <w:rsid w:val="00B564D5"/>
    <w:rsid w:val="00B57E2E"/>
    <w:rsid w:val="00B62679"/>
    <w:rsid w:val="00B6330C"/>
    <w:rsid w:val="00B716F1"/>
    <w:rsid w:val="00B75E22"/>
    <w:rsid w:val="00B81A59"/>
    <w:rsid w:val="00B83505"/>
    <w:rsid w:val="00B83DF3"/>
    <w:rsid w:val="00B86BB7"/>
    <w:rsid w:val="00B937B3"/>
    <w:rsid w:val="00B93A93"/>
    <w:rsid w:val="00B93EB0"/>
    <w:rsid w:val="00B94B56"/>
    <w:rsid w:val="00B97077"/>
    <w:rsid w:val="00BA262F"/>
    <w:rsid w:val="00BA4683"/>
    <w:rsid w:val="00BA621C"/>
    <w:rsid w:val="00BA74D2"/>
    <w:rsid w:val="00BB66B1"/>
    <w:rsid w:val="00BC282D"/>
    <w:rsid w:val="00BC2F1C"/>
    <w:rsid w:val="00BC45D6"/>
    <w:rsid w:val="00BC47D1"/>
    <w:rsid w:val="00BC7E2C"/>
    <w:rsid w:val="00BD0320"/>
    <w:rsid w:val="00BD19B0"/>
    <w:rsid w:val="00BD7D02"/>
    <w:rsid w:val="00BE3425"/>
    <w:rsid w:val="00BE4D7D"/>
    <w:rsid w:val="00BE4DE4"/>
    <w:rsid w:val="00BF01DE"/>
    <w:rsid w:val="00BF0E63"/>
    <w:rsid w:val="00BF1B9A"/>
    <w:rsid w:val="00BF502F"/>
    <w:rsid w:val="00BF6C02"/>
    <w:rsid w:val="00C00867"/>
    <w:rsid w:val="00C01565"/>
    <w:rsid w:val="00C04155"/>
    <w:rsid w:val="00C04CE7"/>
    <w:rsid w:val="00C07E48"/>
    <w:rsid w:val="00C11C7C"/>
    <w:rsid w:val="00C11E40"/>
    <w:rsid w:val="00C16527"/>
    <w:rsid w:val="00C176AC"/>
    <w:rsid w:val="00C20496"/>
    <w:rsid w:val="00C24786"/>
    <w:rsid w:val="00C27E0F"/>
    <w:rsid w:val="00C323F1"/>
    <w:rsid w:val="00C32535"/>
    <w:rsid w:val="00C437BE"/>
    <w:rsid w:val="00C4410B"/>
    <w:rsid w:val="00C44805"/>
    <w:rsid w:val="00C449F8"/>
    <w:rsid w:val="00C44B02"/>
    <w:rsid w:val="00C469ED"/>
    <w:rsid w:val="00C5117C"/>
    <w:rsid w:val="00C5466B"/>
    <w:rsid w:val="00C550C7"/>
    <w:rsid w:val="00C5532F"/>
    <w:rsid w:val="00C60AC2"/>
    <w:rsid w:val="00C6464E"/>
    <w:rsid w:val="00C720DF"/>
    <w:rsid w:val="00C73D98"/>
    <w:rsid w:val="00C768B0"/>
    <w:rsid w:val="00C84A81"/>
    <w:rsid w:val="00C87A6B"/>
    <w:rsid w:val="00C922F1"/>
    <w:rsid w:val="00C92FDB"/>
    <w:rsid w:val="00C952F0"/>
    <w:rsid w:val="00C95C1D"/>
    <w:rsid w:val="00C9717F"/>
    <w:rsid w:val="00CA371D"/>
    <w:rsid w:val="00CA7156"/>
    <w:rsid w:val="00CB1E7A"/>
    <w:rsid w:val="00CB2829"/>
    <w:rsid w:val="00CB30E8"/>
    <w:rsid w:val="00CB32A2"/>
    <w:rsid w:val="00CB3F67"/>
    <w:rsid w:val="00CB4F1D"/>
    <w:rsid w:val="00CC00DB"/>
    <w:rsid w:val="00CC0DE7"/>
    <w:rsid w:val="00CC1819"/>
    <w:rsid w:val="00CC2082"/>
    <w:rsid w:val="00CC5952"/>
    <w:rsid w:val="00CD357E"/>
    <w:rsid w:val="00CE062F"/>
    <w:rsid w:val="00CE14B5"/>
    <w:rsid w:val="00CE4813"/>
    <w:rsid w:val="00CF1126"/>
    <w:rsid w:val="00CF1BCE"/>
    <w:rsid w:val="00CF4746"/>
    <w:rsid w:val="00D00524"/>
    <w:rsid w:val="00D02C4E"/>
    <w:rsid w:val="00D0416E"/>
    <w:rsid w:val="00D06877"/>
    <w:rsid w:val="00D07091"/>
    <w:rsid w:val="00D11CB6"/>
    <w:rsid w:val="00D14B8A"/>
    <w:rsid w:val="00D150CD"/>
    <w:rsid w:val="00D15DB7"/>
    <w:rsid w:val="00D16B6A"/>
    <w:rsid w:val="00D233A3"/>
    <w:rsid w:val="00D23558"/>
    <w:rsid w:val="00D23AB0"/>
    <w:rsid w:val="00D3482E"/>
    <w:rsid w:val="00D37B3B"/>
    <w:rsid w:val="00D37B6E"/>
    <w:rsid w:val="00D40724"/>
    <w:rsid w:val="00D40CCF"/>
    <w:rsid w:val="00D4110D"/>
    <w:rsid w:val="00D477CE"/>
    <w:rsid w:val="00D47F1F"/>
    <w:rsid w:val="00D532D8"/>
    <w:rsid w:val="00D556CD"/>
    <w:rsid w:val="00D55D3A"/>
    <w:rsid w:val="00D566B1"/>
    <w:rsid w:val="00D5737D"/>
    <w:rsid w:val="00D665DB"/>
    <w:rsid w:val="00D70330"/>
    <w:rsid w:val="00D712A0"/>
    <w:rsid w:val="00D71FBA"/>
    <w:rsid w:val="00D7358B"/>
    <w:rsid w:val="00D75FEC"/>
    <w:rsid w:val="00D81E7F"/>
    <w:rsid w:val="00D82B68"/>
    <w:rsid w:val="00D83C98"/>
    <w:rsid w:val="00D846BF"/>
    <w:rsid w:val="00D85081"/>
    <w:rsid w:val="00D87484"/>
    <w:rsid w:val="00D90787"/>
    <w:rsid w:val="00D90857"/>
    <w:rsid w:val="00D916C8"/>
    <w:rsid w:val="00D9247E"/>
    <w:rsid w:val="00D92995"/>
    <w:rsid w:val="00DA22A4"/>
    <w:rsid w:val="00DA5B54"/>
    <w:rsid w:val="00DA7442"/>
    <w:rsid w:val="00DB01B3"/>
    <w:rsid w:val="00DB150C"/>
    <w:rsid w:val="00DB6F71"/>
    <w:rsid w:val="00DD6EC4"/>
    <w:rsid w:val="00DE07B7"/>
    <w:rsid w:val="00DE1471"/>
    <w:rsid w:val="00DE3B05"/>
    <w:rsid w:val="00DE5B15"/>
    <w:rsid w:val="00DE63ED"/>
    <w:rsid w:val="00DE76AE"/>
    <w:rsid w:val="00DF2D96"/>
    <w:rsid w:val="00DF4413"/>
    <w:rsid w:val="00DF5553"/>
    <w:rsid w:val="00DF6641"/>
    <w:rsid w:val="00E017B3"/>
    <w:rsid w:val="00E03233"/>
    <w:rsid w:val="00E04F26"/>
    <w:rsid w:val="00E16C8A"/>
    <w:rsid w:val="00E20362"/>
    <w:rsid w:val="00E227B0"/>
    <w:rsid w:val="00E22BAD"/>
    <w:rsid w:val="00E23D22"/>
    <w:rsid w:val="00E30774"/>
    <w:rsid w:val="00E37026"/>
    <w:rsid w:val="00E42DFA"/>
    <w:rsid w:val="00E44AC7"/>
    <w:rsid w:val="00E44B36"/>
    <w:rsid w:val="00E47966"/>
    <w:rsid w:val="00E502E6"/>
    <w:rsid w:val="00E507C4"/>
    <w:rsid w:val="00E536B0"/>
    <w:rsid w:val="00E6537A"/>
    <w:rsid w:val="00E66AB9"/>
    <w:rsid w:val="00E71C45"/>
    <w:rsid w:val="00E72625"/>
    <w:rsid w:val="00E73584"/>
    <w:rsid w:val="00E77094"/>
    <w:rsid w:val="00E812CA"/>
    <w:rsid w:val="00E84590"/>
    <w:rsid w:val="00E872A1"/>
    <w:rsid w:val="00E873FF"/>
    <w:rsid w:val="00E8773A"/>
    <w:rsid w:val="00E90B7C"/>
    <w:rsid w:val="00E93E64"/>
    <w:rsid w:val="00EA177C"/>
    <w:rsid w:val="00EA25DA"/>
    <w:rsid w:val="00EA65AD"/>
    <w:rsid w:val="00ED0F4A"/>
    <w:rsid w:val="00ED1A73"/>
    <w:rsid w:val="00ED3D8A"/>
    <w:rsid w:val="00ED4E34"/>
    <w:rsid w:val="00ED567F"/>
    <w:rsid w:val="00ED67FD"/>
    <w:rsid w:val="00EE06C2"/>
    <w:rsid w:val="00EE32E0"/>
    <w:rsid w:val="00EE3DAA"/>
    <w:rsid w:val="00EE5270"/>
    <w:rsid w:val="00EE60A1"/>
    <w:rsid w:val="00EE7CB8"/>
    <w:rsid w:val="00EF162A"/>
    <w:rsid w:val="00EF2409"/>
    <w:rsid w:val="00EF2D3B"/>
    <w:rsid w:val="00EF47B2"/>
    <w:rsid w:val="00EF4A47"/>
    <w:rsid w:val="00EF6FD4"/>
    <w:rsid w:val="00F0013D"/>
    <w:rsid w:val="00F01DDD"/>
    <w:rsid w:val="00F02146"/>
    <w:rsid w:val="00F106F7"/>
    <w:rsid w:val="00F10815"/>
    <w:rsid w:val="00F126D0"/>
    <w:rsid w:val="00F12F59"/>
    <w:rsid w:val="00F15214"/>
    <w:rsid w:val="00F17189"/>
    <w:rsid w:val="00F20393"/>
    <w:rsid w:val="00F22D3E"/>
    <w:rsid w:val="00F25E90"/>
    <w:rsid w:val="00F26333"/>
    <w:rsid w:val="00F268C6"/>
    <w:rsid w:val="00F2795D"/>
    <w:rsid w:val="00F3508B"/>
    <w:rsid w:val="00F43143"/>
    <w:rsid w:val="00F435A3"/>
    <w:rsid w:val="00F441B2"/>
    <w:rsid w:val="00F467B7"/>
    <w:rsid w:val="00F60187"/>
    <w:rsid w:val="00F6108F"/>
    <w:rsid w:val="00F62A99"/>
    <w:rsid w:val="00F632C3"/>
    <w:rsid w:val="00F64151"/>
    <w:rsid w:val="00F663BC"/>
    <w:rsid w:val="00F666F5"/>
    <w:rsid w:val="00F66CA5"/>
    <w:rsid w:val="00F67978"/>
    <w:rsid w:val="00F67FF6"/>
    <w:rsid w:val="00F71E3B"/>
    <w:rsid w:val="00F7624B"/>
    <w:rsid w:val="00F769F7"/>
    <w:rsid w:val="00F77FA2"/>
    <w:rsid w:val="00F832AB"/>
    <w:rsid w:val="00F84668"/>
    <w:rsid w:val="00F905FC"/>
    <w:rsid w:val="00F90CA2"/>
    <w:rsid w:val="00F9345E"/>
    <w:rsid w:val="00F973CC"/>
    <w:rsid w:val="00F974FA"/>
    <w:rsid w:val="00F97996"/>
    <w:rsid w:val="00F97DB2"/>
    <w:rsid w:val="00FA6C7C"/>
    <w:rsid w:val="00FA6C87"/>
    <w:rsid w:val="00FA7040"/>
    <w:rsid w:val="00FA7F3C"/>
    <w:rsid w:val="00FB06AF"/>
    <w:rsid w:val="00FB0D45"/>
    <w:rsid w:val="00FB180B"/>
    <w:rsid w:val="00FB43D5"/>
    <w:rsid w:val="00FB5240"/>
    <w:rsid w:val="00FC294C"/>
    <w:rsid w:val="00FC298B"/>
    <w:rsid w:val="00FD3AB2"/>
    <w:rsid w:val="00FD6818"/>
    <w:rsid w:val="00FD6EF8"/>
    <w:rsid w:val="00FD7E05"/>
    <w:rsid w:val="00FE2CA6"/>
    <w:rsid w:val="00FE4FFE"/>
    <w:rsid w:val="00FE798D"/>
    <w:rsid w:val="00FF51E8"/>
    <w:rsid w:val="00FF6C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5DF054C3"/>
  <w15:docId w15:val="{FC29B9A1-4205-4101-8564-6CCBDCE8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3" w:qFormat="1"/>
    <w:lsdException w:name="heading 2" w:semiHidden="1" w:uiPriority="3" w:qFormat="1"/>
    <w:lsdException w:name="heading 3" w:semiHidden="1" w:uiPriority="3" w:qFormat="1"/>
    <w:lsdException w:name="heading 4" w:semiHidden="1" w:uiPriority="3"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lsdException w:name="header" w:semiHidden="1" w:uiPriority="18" w:qFormat="1"/>
    <w:lsdException w:name="footer" w:semiHidden="1" w:uiPriority="18"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qFormat="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qFormat="1"/>
    <w:lsdException w:name="List Bullet 3" w:semiHidden="1" w:unhideWhenUsed="1"/>
    <w:lsdException w:name="List Bullet 4" w:semiHidden="1" w:unhideWhenUsed="1"/>
    <w:lsdException w:name="List Bullet 5" w:semiHidden="1" w:unhideWhenUsed="1"/>
    <w:lsdException w:name="List Number 2" w:semiHidden="1" w:uiPriority="4" w:qFormat="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C5466B"/>
    <w:pPr>
      <w:spacing w:line="240" w:lineRule="auto"/>
    </w:pPr>
    <w:rPr>
      <w:rFonts w:ascii="Arial" w:hAnsi="Arial" w:cs="Arial"/>
      <w:color w:val="616264" w:themeColor="text2"/>
      <w:sz w:val="20"/>
      <w:szCs w:val="20"/>
    </w:rPr>
  </w:style>
  <w:style w:type="paragraph" w:styleId="Heading1">
    <w:name w:val="heading 1"/>
    <w:basedOn w:val="Normal"/>
    <w:next w:val="BodyText"/>
    <w:link w:val="Heading1Char"/>
    <w:uiPriority w:val="3"/>
    <w:qFormat/>
    <w:rsid w:val="00A51588"/>
    <w:pPr>
      <w:keepNext/>
      <w:keepLines/>
      <w:spacing w:before="480" w:after="360"/>
      <w:ind w:left="720" w:hanging="720"/>
      <w:outlineLvl w:val="0"/>
    </w:pPr>
    <w:rPr>
      <w:rFonts w:eastAsiaTheme="majorEastAsia" w:cstheme="majorBidi"/>
      <w:b/>
      <w:bCs/>
      <w:caps/>
      <w:color w:val="009CDA" w:themeColor="background2"/>
      <w:sz w:val="36"/>
      <w:szCs w:val="36"/>
    </w:rPr>
  </w:style>
  <w:style w:type="paragraph" w:styleId="Heading2">
    <w:name w:val="heading 2"/>
    <w:basedOn w:val="Normal"/>
    <w:next w:val="BodyText"/>
    <w:link w:val="Heading2Char"/>
    <w:uiPriority w:val="3"/>
    <w:qFormat/>
    <w:rsid w:val="001537EA"/>
    <w:pPr>
      <w:keepNext/>
      <w:keepLines/>
      <w:spacing w:before="200"/>
      <w:outlineLvl w:val="1"/>
    </w:pPr>
    <w:rPr>
      <w:rFonts w:eastAsiaTheme="majorEastAsia" w:cstheme="majorBidi"/>
      <w:bCs/>
      <w:color w:val="009CDA" w:themeColor="background2"/>
      <w:sz w:val="28"/>
      <w:szCs w:val="26"/>
    </w:rPr>
  </w:style>
  <w:style w:type="paragraph" w:styleId="Heading3">
    <w:name w:val="heading 3"/>
    <w:basedOn w:val="Normal"/>
    <w:next w:val="BodyText"/>
    <w:link w:val="Heading3Char"/>
    <w:uiPriority w:val="3"/>
    <w:qFormat/>
    <w:rsid w:val="00CB30E8"/>
    <w:pPr>
      <w:keepNext/>
      <w:keepLines/>
      <w:spacing w:before="200"/>
      <w:outlineLvl w:val="2"/>
    </w:pPr>
    <w:rPr>
      <w:rFonts w:eastAsiaTheme="majorEastAsia"/>
      <w:bCs/>
      <w:color w:val="009CDA" w:themeColor="background2"/>
      <w:sz w:val="24"/>
    </w:rPr>
  </w:style>
  <w:style w:type="paragraph" w:styleId="Heading4">
    <w:name w:val="heading 4"/>
    <w:basedOn w:val="Normal"/>
    <w:next w:val="Normal"/>
    <w:link w:val="Heading4Char"/>
    <w:uiPriority w:val="3"/>
    <w:qFormat/>
    <w:rsid w:val="001537EA"/>
    <w:pPr>
      <w:keepNext/>
      <w:keepLines/>
      <w:spacing w:before="200" w:after="60"/>
      <w:outlineLvl w:val="3"/>
    </w:pPr>
    <w:rPr>
      <w:rFonts w:eastAsiaTheme="majorEastAsia"/>
      <w:b/>
      <w:bCs/>
      <w:iCs/>
      <w:color w:val="009CDA"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CB30E8"/>
    <w:rPr>
      <w:rFonts w:ascii="Arial" w:eastAsiaTheme="majorEastAsia" w:hAnsi="Arial" w:cs="Arial"/>
      <w:bCs/>
      <w:color w:val="009CDA"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E30774"/>
    <w:pPr>
      <w:spacing w:line="288" w:lineRule="auto"/>
    </w:pPr>
  </w:style>
  <w:style w:type="character" w:customStyle="1" w:styleId="BodyTextChar">
    <w:name w:val="Body Text Char"/>
    <w:basedOn w:val="DefaultParagraphFont"/>
    <w:link w:val="BodyText"/>
    <w:rsid w:val="002E1053"/>
    <w:rPr>
      <w:rFonts w:ascii="Arial" w:hAnsi="Arial" w:cs="Arial"/>
      <w:color w:val="616264" w:themeColor="text2"/>
      <w:sz w:val="20"/>
      <w:szCs w:val="20"/>
      <w:lang w:val="az-Latn-AZ"/>
    </w:rPr>
  </w:style>
  <w:style w:type="character" w:customStyle="1" w:styleId="Heading1Char">
    <w:name w:val="Heading 1 Char"/>
    <w:basedOn w:val="DefaultParagraphFont"/>
    <w:link w:val="Heading1"/>
    <w:uiPriority w:val="3"/>
    <w:rsid w:val="00A51588"/>
    <w:rPr>
      <w:rFonts w:ascii="Arial" w:eastAsiaTheme="majorEastAsia" w:hAnsi="Arial" w:cstheme="majorBidi"/>
      <w:b/>
      <w:bCs/>
      <w:caps/>
      <w:color w:val="009CDA" w:themeColor="background2"/>
      <w:sz w:val="36"/>
      <w:szCs w:val="36"/>
    </w:rPr>
  </w:style>
  <w:style w:type="character" w:customStyle="1" w:styleId="Heading2Char">
    <w:name w:val="Heading 2 Char"/>
    <w:basedOn w:val="DefaultParagraphFont"/>
    <w:link w:val="Heading2"/>
    <w:uiPriority w:val="3"/>
    <w:rsid w:val="002E1053"/>
    <w:rPr>
      <w:rFonts w:ascii="Arial" w:eastAsiaTheme="majorEastAsia" w:hAnsi="Arial" w:cstheme="majorBidi"/>
      <w:bCs/>
      <w:color w:val="009CDA" w:themeColor="background2"/>
      <w:sz w:val="28"/>
      <w:szCs w:val="26"/>
    </w:rPr>
  </w:style>
  <w:style w:type="paragraph" w:styleId="ListParagraph">
    <w:name w:val="List Paragraph"/>
    <w:aliases w:val="Bullet Points,Liste Paragraf,Listenabsatz1,Bullet List Paragraph,List Paragraph1,Level 1 Bullet,Bullet List,Colorful List - Accent 11,Llista Nivell1,Lista de nivel 1,Paragraphe de liste PBLH,Bullet list,Table of contents numbered,L,lp1"/>
    <w:basedOn w:val="Normal"/>
    <w:link w:val="ListParagraphChar"/>
    <w:uiPriority w:val="34"/>
    <w:qFormat/>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53"/>
    <w:rPr>
      <w:rFonts w:ascii="Tahoma" w:hAnsi="Tahoma" w:cs="Tahoma"/>
      <w:color w:val="616264" w:themeColor="text2"/>
      <w:sz w:val="16"/>
      <w:szCs w:val="16"/>
    </w:rPr>
  </w:style>
  <w:style w:type="paragraph" w:styleId="Header">
    <w:name w:val="header"/>
    <w:basedOn w:val="Normal"/>
    <w:link w:val="HeaderChar"/>
    <w:uiPriority w:val="18"/>
    <w:qFormat/>
    <w:rsid w:val="00764196"/>
    <w:pPr>
      <w:tabs>
        <w:tab w:val="center" w:pos="4513"/>
        <w:tab w:val="right" w:pos="9026"/>
      </w:tabs>
      <w:spacing w:after="0"/>
    </w:pPr>
    <w:rPr>
      <w:noProof/>
    </w:rPr>
  </w:style>
  <w:style w:type="character" w:customStyle="1" w:styleId="HeaderChar">
    <w:name w:val="Header Char"/>
    <w:basedOn w:val="DefaultParagraphFont"/>
    <w:link w:val="Header"/>
    <w:uiPriority w:val="18"/>
    <w:rsid w:val="002E1053"/>
    <w:rPr>
      <w:rFonts w:ascii="Arial" w:hAnsi="Arial" w:cs="Arial"/>
      <w:noProof/>
      <w:color w:val="616264" w:themeColor="text2"/>
      <w:sz w:val="20"/>
      <w:szCs w:val="20"/>
    </w:rPr>
  </w:style>
  <w:style w:type="paragraph" w:styleId="Footer">
    <w:name w:val="footer"/>
    <w:basedOn w:val="Normal"/>
    <w:link w:val="FooterChar"/>
    <w:uiPriority w:val="18"/>
    <w:qFormat/>
    <w:rsid w:val="001537EA"/>
    <w:pPr>
      <w:spacing w:after="0"/>
      <w:jc w:val="right"/>
    </w:pPr>
    <w:rPr>
      <w:caps/>
      <w:color w:val="FFFFFF" w:themeColor="background1"/>
      <w:sz w:val="22"/>
      <w:szCs w:val="22"/>
    </w:rPr>
  </w:style>
  <w:style w:type="character" w:customStyle="1" w:styleId="FooterChar">
    <w:name w:val="Footer Char"/>
    <w:basedOn w:val="DefaultParagraphFont"/>
    <w:link w:val="Footer"/>
    <w:uiPriority w:val="18"/>
    <w:rsid w:val="002E1053"/>
    <w:rPr>
      <w:rFonts w:ascii="Arial" w:hAnsi="Arial" w:cs="Arial"/>
      <w:caps/>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uiPriority w:val="7"/>
    <w:rsid w:val="00D15DB7"/>
    <w:rPr>
      <w:rFonts w:ascii="Arial" w:hAnsi="Arial" w:cs="Arial"/>
      <w:color w:val="616264" w:themeColor="text2"/>
      <w:sz w:val="18"/>
      <w:szCs w:val="20"/>
    </w:rPr>
  </w:style>
  <w:style w:type="paragraph" w:customStyle="1" w:styleId="TableText">
    <w:name w:val="Table Text"/>
    <w:basedOn w:val="Normal"/>
    <w:link w:val="TableTextChar"/>
    <w:uiPriority w:val="7"/>
    <w:qFormat/>
    <w:rsid w:val="00D15DB7"/>
    <w:pPr>
      <w:spacing w:after="0"/>
    </w:pPr>
    <w:rPr>
      <w:sz w:val="18"/>
    </w:rPr>
  </w:style>
  <w:style w:type="paragraph" w:customStyle="1" w:styleId="TableHeader">
    <w:name w:val="Table Header"/>
    <w:basedOn w:val="TableText"/>
    <w:link w:val="TableHeaderChar"/>
    <w:uiPriority w:val="6"/>
    <w:qFormat/>
    <w:rsid w:val="00D85081"/>
    <w:rPr>
      <w:b/>
      <w:color w:val="009CDA" w:themeColor="background2"/>
    </w:rPr>
  </w:style>
  <w:style w:type="paragraph" w:customStyle="1" w:styleId="TableFirstColumn">
    <w:name w:val="Table First Column"/>
    <w:link w:val="TableFirstColumnChar"/>
    <w:uiPriority w:val="7"/>
    <w:qFormat/>
    <w:rsid w:val="00D85081"/>
    <w:pPr>
      <w:spacing w:after="0" w:line="240" w:lineRule="auto"/>
    </w:pPr>
    <w:rPr>
      <w:rFonts w:ascii="Arial" w:hAnsi="Arial" w:cs="Arial"/>
      <w:b/>
      <w:color w:val="009CDA" w:themeColor="background2"/>
      <w:sz w:val="18"/>
      <w:szCs w:val="20"/>
    </w:rPr>
  </w:style>
  <w:style w:type="character" w:customStyle="1" w:styleId="TableHeaderChar">
    <w:name w:val="Table Header Char"/>
    <w:basedOn w:val="TableTextChar"/>
    <w:link w:val="TableHeader"/>
    <w:uiPriority w:val="6"/>
    <w:rsid w:val="002E1053"/>
    <w:rPr>
      <w:rFonts w:ascii="Arial" w:hAnsi="Arial" w:cs="Arial"/>
      <w:b/>
      <w:color w:val="009CDA" w:themeColor="background2"/>
      <w:sz w:val="18"/>
      <w:szCs w:val="20"/>
    </w:rPr>
  </w:style>
  <w:style w:type="character" w:customStyle="1" w:styleId="TableFirstColumnChar">
    <w:name w:val="Table First Column Char"/>
    <w:basedOn w:val="TableHeaderChar"/>
    <w:link w:val="TableFirstColumn"/>
    <w:uiPriority w:val="7"/>
    <w:rsid w:val="002E1053"/>
    <w:rPr>
      <w:rFonts w:ascii="Arial" w:hAnsi="Arial" w:cs="Arial"/>
      <w:b/>
      <w:color w:val="009CDA" w:themeColor="background2"/>
      <w:sz w:val="18"/>
      <w:szCs w:val="20"/>
    </w:rPr>
  </w:style>
  <w:style w:type="paragraph" w:styleId="ListBullet">
    <w:name w:val="List Bullet"/>
    <w:basedOn w:val="Normal"/>
    <w:link w:val="ListBulletChar"/>
    <w:uiPriority w:val="2"/>
    <w:qFormat/>
    <w:rsid w:val="00CB30E8"/>
    <w:pPr>
      <w:numPr>
        <w:numId w:val="1"/>
      </w:numPr>
      <w:spacing w:after="0" w:line="288" w:lineRule="auto"/>
    </w:pPr>
  </w:style>
  <w:style w:type="paragraph" w:styleId="ListNumber">
    <w:name w:val="List Number"/>
    <w:basedOn w:val="Normal"/>
    <w:uiPriority w:val="2"/>
    <w:qFormat/>
    <w:rsid w:val="00CB30E8"/>
    <w:pPr>
      <w:numPr>
        <w:numId w:val="8"/>
      </w:numPr>
      <w:spacing w:after="60" w:line="288" w:lineRule="auto"/>
    </w:pPr>
  </w:style>
  <w:style w:type="table" w:customStyle="1" w:styleId="ETFTable">
    <w:name w:val="ETF Table"/>
    <w:basedOn w:val="TableNormal"/>
    <w:uiPriority w:val="99"/>
    <w:qFormat/>
    <w:rsid w:val="00D85081"/>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CDA" w:themeColor="background2"/>
        <w:sz w:val="22"/>
      </w:rPr>
      <w:tblPr/>
      <w:tcPr>
        <w:tcBorders>
          <w:top w:val="single" w:sz="8" w:space="0" w:color="009CDA" w:themeColor="background2"/>
          <w:left w:val="nil"/>
          <w:bottom w:val="single" w:sz="8" w:space="0" w:color="009CDA"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CDA"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paragraph" w:styleId="Title">
    <w:name w:val="Title"/>
    <w:basedOn w:val="Normal"/>
    <w:next w:val="Normal"/>
    <w:link w:val="TitleChar"/>
    <w:uiPriority w:val="15"/>
    <w:qFormat/>
    <w:rsid w:val="00671F86"/>
    <w:pPr>
      <w:spacing w:after="960"/>
    </w:pPr>
    <w:rPr>
      <w:rFonts w:eastAsiaTheme="majorEastAsia" w:cstheme="majorBidi"/>
      <w:b/>
      <w:bCs/>
      <w:caps/>
      <w:color w:val="009CDA" w:themeColor="background2"/>
      <w:spacing w:val="-40"/>
      <w:sz w:val="86"/>
      <w:szCs w:val="28"/>
    </w:rPr>
  </w:style>
  <w:style w:type="character" w:customStyle="1" w:styleId="TitleChar">
    <w:name w:val="Title Char"/>
    <w:basedOn w:val="DefaultParagraphFont"/>
    <w:link w:val="Title"/>
    <w:uiPriority w:val="15"/>
    <w:rsid w:val="00671F86"/>
    <w:rPr>
      <w:rFonts w:ascii="Arial" w:eastAsiaTheme="majorEastAsia" w:hAnsi="Arial" w:cstheme="majorBidi"/>
      <w:b/>
      <w:bCs/>
      <w:caps/>
      <w:color w:val="009CDA" w:themeColor="background2"/>
      <w:spacing w:val="-40"/>
      <w:sz w:val="86"/>
      <w:szCs w:val="28"/>
    </w:rPr>
  </w:style>
  <w:style w:type="paragraph" w:styleId="ListNumber2">
    <w:name w:val="List Number 2"/>
    <w:basedOn w:val="Normal"/>
    <w:uiPriority w:val="4"/>
    <w:qFormat/>
    <w:rsid w:val="00CB30E8"/>
    <w:pPr>
      <w:numPr>
        <w:ilvl w:val="1"/>
        <w:numId w:val="8"/>
      </w:numPr>
      <w:spacing w:after="60"/>
      <w:contextualSpacing/>
    </w:pPr>
  </w:style>
  <w:style w:type="paragraph" w:styleId="ListBullet2">
    <w:name w:val="List Bullet 2"/>
    <w:basedOn w:val="Normal"/>
    <w:uiPriority w:val="4"/>
    <w:qFormat/>
    <w:rsid w:val="00CB30E8"/>
    <w:pPr>
      <w:numPr>
        <w:ilvl w:val="1"/>
        <w:numId w:val="1"/>
      </w:numPr>
      <w:spacing w:after="60"/>
    </w:pPr>
  </w:style>
  <w:style w:type="character" w:customStyle="1" w:styleId="ListBulletChar">
    <w:name w:val="List Bullet Char"/>
    <w:basedOn w:val="DefaultParagraphFont"/>
    <w:link w:val="ListBullet"/>
    <w:uiPriority w:val="2"/>
    <w:rsid w:val="00CB30E8"/>
    <w:rPr>
      <w:rFonts w:ascii="Arial" w:hAnsi="Arial" w:cs="Arial"/>
      <w:color w:val="616264" w:themeColor="text2"/>
      <w:sz w:val="20"/>
      <w:szCs w:val="20"/>
    </w:rPr>
  </w:style>
  <w:style w:type="character" w:styleId="SubtleEmphasis">
    <w:name w:val="Subtle Emphasis"/>
    <w:basedOn w:val="DefaultParagraphFont"/>
    <w:uiPriority w:val="19"/>
    <w:semiHidden/>
    <w:qFormat/>
    <w:rsid w:val="005A6ABD"/>
    <w:rPr>
      <w:i/>
      <w:iCs/>
      <w:color w:val="616264"/>
    </w:rPr>
  </w:style>
  <w:style w:type="paragraph" w:styleId="FootnoteText">
    <w:name w:val="footnote text"/>
    <w:aliases w:val="single space,FOOTNOTES,fn,ft,ADB,pod carou,Char,Testo nota a piè di pagina Carattere,Geneva 9,Font: Geneva 9,Boston 10,f,Footnote Text Char1,ft Char Char,single space Char Char,Fußnot,Schriftart: 9 pt,Schriftart: 10 pt,footnote text,f t,F1"/>
    <w:basedOn w:val="Normal"/>
    <w:link w:val="FootnoteTextChar"/>
    <w:uiPriority w:val="99"/>
    <w:qFormat/>
    <w:rsid w:val="001C4B9D"/>
    <w:pPr>
      <w:spacing w:after="40"/>
    </w:pPr>
    <w:rPr>
      <w:sz w:val="18"/>
    </w:rPr>
  </w:style>
  <w:style w:type="character" w:customStyle="1" w:styleId="FootnoteTextChar">
    <w:name w:val="Footnote Text Char"/>
    <w:aliases w:val="single space Char,FOOTNOTES Char,fn Char,ft Char,ADB Char,pod carou Char,Char Char,Testo nota a piè di pagina Carattere Char,Geneva 9 Char,Font: Geneva 9 Char,Boston 10 Char,f Char,Footnote Text Char1 Char,ft Char Char Char,f t Char"/>
    <w:basedOn w:val="DefaultParagraphFont"/>
    <w:link w:val="FootnoteText"/>
    <w:uiPriority w:val="99"/>
    <w:rsid w:val="00C5466B"/>
    <w:rPr>
      <w:rFonts w:ascii="Arial" w:hAnsi="Arial" w:cs="Arial"/>
      <w:color w:val="616264" w:themeColor="text2"/>
      <w:sz w:val="18"/>
      <w:szCs w:val="20"/>
    </w:rPr>
  </w:style>
  <w:style w:type="character" w:customStyle="1" w:styleId="Heading4Char">
    <w:name w:val="Heading 4 Char"/>
    <w:basedOn w:val="DefaultParagraphFont"/>
    <w:link w:val="Heading4"/>
    <w:uiPriority w:val="3"/>
    <w:rsid w:val="002E1053"/>
    <w:rPr>
      <w:rFonts w:ascii="Arial" w:eastAsiaTheme="majorEastAsia" w:hAnsi="Arial" w:cs="Arial"/>
      <w:b/>
      <w:bCs/>
      <w:iCs/>
      <w:color w:val="009CDA" w:themeColor="background2"/>
      <w:sz w:val="20"/>
      <w:szCs w:val="20"/>
    </w:rPr>
  </w:style>
  <w:style w:type="paragraph" w:styleId="TOCHeading">
    <w:name w:val="TOC Heading"/>
    <w:basedOn w:val="Heading1"/>
    <w:next w:val="Normal"/>
    <w:uiPriority w:val="39"/>
    <w:qFormat/>
    <w:rsid w:val="001537EA"/>
    <w:pPr>
      <w:spacing w:before="0" w:line="276" w:lineRule="auto"/>
      <w:outlineLvl w:val="9"/>
    </w:pPr>
    <w:rPr>
      <w:rFonts w:cs="Arial"/>
      <w:sz w:val="60"/>
      <w:szCs w:val="60"/>
    </w:rPr>
  </w:style>
  <w:style w:type="paragraph" w:styleId="TOC1">
    <w:name w:val="toc 1"/>
    <w:basedOn w:val="Normal"/>
    <w:next w:val="Normal"/>
    <w:autoRedefine/>
    <w:uiPriority w:val="39"/>
    <w:rsid w:val="00D233A3"/>
    <w:pPr>
      <w:tabs>
        <w:tab w:val="left" w:pos="660"/>
        <w:tab w:val="right" w:pos="9091"/>
      </w:tabs>
      <w:spacing w:before="240" w:after="120"/>
      <w:ind w:left="630" w:hanging="630"/>
    </w:pPr>
    <w:rPr>
      <w:caps/>
      <w:color w:val="009CDA" w:themeColor="background2"/>
      <w:sz w:val="24"/>
    </w:rPr>
  </w:style>
  <w:style w:type="paragraph" w:styleId="TOC2">
    <w:name w:val="toc 2"/>
    <w:basedOn w:val="Normal"/>
    <w:next w:val="Normal"/>
    <w:autoRedefine/>
    <w:uiPriority w:val="39"/>
    <w:rsid w:val="00E03233"/>
    <w:pPr>
      <w:tabs>
        <w:tab w:val="right" w:pos="9091"/>
      </w:tabs>
      <w:spacing w:before="120" w:after="120"/>
    </w:pPr>
    <w:rPr>
      <w:sz w:val="24"/>
    </w:rPr>
  </w:style>
  <w:style w:type="paragraph" w:styleId="TOC3">
    <w:name w:val="toc 3"/>
    <w:basedOn w:val="Normal"/>
    <w:next w:val="Normal"/>
    <w:autoRedefine/>
    <w:uiPriority w:val="39"/>
    <w:rsid w:val="00E03233"/>
    <w:pPr>
      <w:spacing w:after="100"/>
    </w:pPr>
    <w:rPr>
      <w:sz w:val="24"/>
    </w:rPr>
  </w:style>
  <w:style w:type="character" w:styleId="Hyperlink">
    <w:name w:val="Hyperlink"/>
    <w:basedOn w:val="DefaultParagraphFont"/>
    <w:uiPriority w:val="99"/>
    <w:unhideWhenUsed/>
    <w:rsid w:val="0067124C"/>
    <w:rPr>
      <w:color w:val="DC006B" w:themeColor="hyperlink"/>
      <w:u w:val="single"/>
    </w:rPr>
  </w:style>
  <w:style w:type="character" w:styleId="FootnoteReference">
    <w:name w:val="footnote reference"/>
    <w:aliases w:val="ftref,BVI fnr,Footnotes refss,Footnote Reference1,16 Point,Superscript 6 Point, BVI fnr,Footnote Reference Number,Footnote Reference_LVL6,Footnote Reference_LVL61,Footnote Reference_LVL62,Footnote Reference_LVL63,fr,Times 10 Point,Ref"/>
    <w:basedOn w:val="DefaultParagraphFont"/>
    <w:link w:val="FootnoteReference2CharCharCharCharChar"/>
    <w:uiPriority w:val="99"/>
    <w:unhideWhenUsed/>
    <w:qFormat/>
    <w:rsid w:val="00C87A6B"/>
    <w:rPr>
      <w:vertAlign w:val="superscript"/>
    </w:rPr>
  </w:style>
  <w:style w:type="paragraph" w:styleId="ListBullet3">
    <w:name w:val="List Bullet 3"/>
    <w:basedOn w:val="Normal"/>
    <w:uiPriority w:val="99"/>
    <w:semiHidden/>
    <w:unhideWhenUsed/>
    <w:rsid w:val="001640CE"/>
    <w:pPr>
      <w:numPr>
        <w:numId w:val="2"/>
      </w:numPr>
      <w:ind w:left="924" w:hanging="357"/>
    </w:pPr>
  </w:style>
  <w:style w:type="paragraph" w:styleId="ListBullet4">
    <w:name w:val="List Bullet 4"/>
    <w:basedOn w:val="Normal"/>
    <w:uiPriority w:val="99"/>
    <w:semiHidden/>
    <w:unhideWhenUsed/>
    <w:rsid w:val="001640CE"/>
    <w:pPr>
      <w:numPr>
        <w:numId w:val="3"/>
      </w:numPr>
      <w:ind w:left="1208" w:hanging="357"/>
    </w:pPr>
  </w:style>
  <w:style w:type="paragraph" w:styleId="ListBullet5">
    <w:name w:val="List Bullet 5"/>
    <w:basedOn w:val="Normal"/>
    <w:uiPriority w:val="99"/>
    <w:semiHidden/>
    <w:unhideWhenUsed/>
    <w:rsid w:val="001640CE"/>
    <w:pPr>
      <w:numPr>
        <w:numId w:val="4"/>
      </w:numPr>
      <w:ind w:left="1491" w:hanging="357"/>
    </w:pPr>
  </w:style>
  <w:style w:type="paragraph" w:styleId="ListContinue">
    <w:name w:val="List Continue"/>
    <w:basedOn w:val="Normal"/>
    <w:uiPriority w:val="99"/>
    <w:semiHidden/>
    <w:unhideWhenUsed/>
    <w:rsid w:val="002C7928"/>
    <w:pPr>
      <w:ind w:left="284"/>
    </w:pPr>
  </w:style>
  <w:style w:type="paragraph" w:styleId="ListContinue2">
    <w:name w:val="List Continue 2"/>
    <w:basedOn w:val="Normal"/>
    <w:uiPriority w:val="99"/>
    <w:semiHidden/>
    <w:unhideWhenUsed/>
    <w:rsid w:val="002C7928"/>
    <w:pPr>
      <w:ind w:left="567"/>
    </w:pPr>
  </w:style>
  <w:style w:type="paragraph" w:styleId="ListContinue3">
    <w:name w:val="List Continue 3"/>
    <w:basedOn w:val="Normal"/>
    <w:uiPriority w:val="99"/>
    <w:semiHidden/>
    <w:unhideWhenUsed/>
    <w:rsid w:val="002C7928"/>
    <w:pPr>
      <w:ind w:left="851"/>
    </w:pPr>
  </w:style>
  <w:style w:type="paragraph" w:styleId="ListContinue4">
    <w:name w:val="List Continue 4"/>
    <w:basedOn w:val="Normal"/>
    <w:uiPriority w:val="99"/>
    <w:semiHidden/>
    <w:unhideWhenUsed/>
    <w:rsid w:val="002C7928"/>
    <w:pPr>
      <w:ind w:left="1134"/>
    </w:pPr>
  </w:style>
  <w:style w:type="paragraph" w:styleId="ListContinue5">
    <w:name w:val="List Continue 5"/>
    <w:basedOn w:val="Normal"/>
    <w:uiPriority w:val="99"/>
    <w:semiHidden/>
    <w:unhideWhenUsed/>
    <w:rsid w:val="002C7928"/>
    <w:pPr>
      <w:ind w:left="1418"/>
    </w:pPr>
  </w:style>
  <w:style w:type="paragraph" w:styleId="ListNumber3">
    <w:name w:val="List Number 3"/>
    <w:basedOn w:val="Normal"/>
    <w:uiPriority w:val="99"/>
    <w:semiHidden/>
    <w:unhideWhenUsed/>
    <w:rsid w:val="001640CE"/>
    <w:pPr>
      <w:numPr>
        <w:numId w:val="5"/>
      </w:numPr>
      <w:ind w:left="924" w:hanging="357"/>
    </w:pPr>
  </w:style>
  <w:style w:type="paragraph" w:styleId="ListNumber4">
    <w:name w:val="List Number 4"/>
    <w:basedOn w:val="Normal"/>
    <w:uiPriority w:val="99"/>
    <w:semiHidden/>
    <w:unhideWhenUsed/>
    <w:rsid w:val="001640CE"/>
    <w:pPr>
      <w:numPr>
        <w:numId w:val="6"/>
      </w:numPr>
      <w:ind w:left="1208" w:hanging="357"/>
    </w:pPr>
  </w:style>
  <w:style w:type="paragraph" w:styleId="ListNumber5">
    <w:name w:val="List Number 5"/>
    <w:basedOn w:val="Normal"/>
    <w:uiPriority w:val="99"/>
    <w:semiHidden/>
    <w:unhideWhenUsed/>
    <w:rsid w:val="001640CE"/>
    <w:pPr>
      <w:numPr>
        <w:numId w:val="7"/>
      </w:numPr>
      <w:ind w:left="1491" w:hanging="357"/>
    </w:pPr>
  </w:style>
  <w:style w:type="paragraph" w:styleId="Quote">
    <w:name w:val="Quote"/>
    <w:basedOn w:val="Normal"/>
    <w:next w:val="Normal"/>
    <w:link w:val="QuoteChar"/>
    <w:uiPriority w:val="29"/>
    <w:semiHidden/>
    <w:qFormat/>
    <w:rsid w:val="00AF646B"/>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2E1053"/>
    <w:rPr>
      <w:rFonts w:ascii="Arial" w:hAnsi="Arial" w:cs="Arial"/>
      <w:i/>
      <w:iCs/>
      <w:color w:val="404040" w:themeColor="text1" w:themeTint="BF"/>
      <w:sz w:val="20"/>
      <w:szCs w:val="20"/>
    </w:rPr>
  </w:style>
  <w:style w:type="character" w:styleId="PlaceholderText">
    <w:name w:val="Placeholder Text"/>
    <w:basedOn w:val="DefaultParagraphFont"/>
    <w:uiPriority w:val="99"/>
    <w:semiHidden/>
    <w:rsid w:val="00156998"/>
    <w:rPr>
      <w:color w:val="808080"/>
    </w:rPr>
  </w:style>
  <w:style w:type="paragraph" w:styleId="Subtitle">
    <w:name w:val="Subtitle"/>
    <w:basedOn w:val="Normal"/>
    <w:next w:val="Normal"/>
    <w:link w:val="SubtitleChar"/>
    <w:uiPriority w:val="16"/>
    <w:qFormat/>
    <w:rsid w:val="00671F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6"/>
    <w:rsid w:val="00671F86"/>
    <w:rPr>
      <w:rFonts w:eastAsiaTheme="minorEastAsia"/>
      <w:color w:val="5A5A5A" w:themeColor="text1" w:themeTint="A5"/>
      <w:spacing w:val="15"/>
    </w:rPr>
  </w:style>
  <w:style w:type="paragraph" w:styleId="BodyText2">
    <w:name w:val="Body Text 2"/>
    <w:basedOn w:val="Normal"/>
    <w:link w:val="BodyText2Char"/>
    <w:uiPriority w:val="99"/>
    <w:semiHidden/>
    <w:rsid w:val="00D85081"/>
    <w:pPr>
      <w:spacing w:after="120" w:line="480" w:lineRule="auto"/>
    </w:pPr>
  </w:style>
  <w:style w:type="character" w:customStyle="1" w:styleId="BodyText2Char">
    <w:name w:val="Body Text 2 Char"/>
    <w:basedOn w:val="DefaultParagraphFont"/>
    <w:link w:val="BodyText2"/>
    <w:uiPriority w:val="99"/>
    <w:semiHidden/>
    <w:rsid w:val="002E1053"/>
    <w:rPr>
      <w:rFonts w:ascii="Arial" w:hAnsi="Arial" w:cs="Arial"/>
      <w:color w:val="616264" w:themeColor="text2"/>
      <w:sz w:val="20"/>
      <w:szCs w:val="20"/>
    </w:rPr>
  </w:style>
  <w:style w:type="paragraph" w:customStyle="1" w:styleId="TableTitle">
    <w:name w:val="Table Title"/>
    <w:basedOn w:val="BodyText"/>
    <w:uiPriority w:val="5"/>
    <w:qFormat/>
    <w:rsid w:val="00544688"/>
    <w:pPr>
      <w:spacing w:before="120" w:after="120"/>
    </w:pPr>
    <w:rPr>
      <w:b/>
      <w:caps/>
      <w:color w:val="009CDA" w:themeColor="background2"/>
    </w:rPr>
  </w:style>
  <w:style w:type="paragraph" w:customStyle="1" w:styleId="TableSource">
    <w:name w:val="Table Source"/>
    <w:basedOn w:val="BodyText"/>
    <w:next w:val="BodyText"/>
    <w:uiPriority w:val="8"/>
    <w:qFormat/>
    <w:rsid w:val="00E04F26"/>
    <w:pPr>
      <w:spacing w:before="120"/>
    </w:pPr>
    <w:rPr>
      <w:color w:val="009CDA" w:themeColor="background2"/>
      <w:sz w:val="18"/>
    </w:rPr>
  </w:style>
  <w:style w:type="paragraph" w:customStyle="1" w:styleId="CallOutHeading">
    <w:name w:val="Call Out Heading"/>
    <w:basedOn w:val="BodyText"/>
    <w:uiPriority w:val="14"/>
    <w:qFormat/>
    <w:rsid w:val="0097562F"/>
    <w:rPr>
      <w:b/>
      <w:color w:val="009CDA" w:themeColor="background2"/>
    </w:rPr>
  </w:style>
  <w:style w:type="paragraph" w:customStyle="1" w:styleId="FooterText">
    <w:name w:val="Footer Text"/>
    <w:basedOn w:val="Footer"/>
    <w:uiPriority w:val="18"/>
    <w:qFormat/>
    <w:rsid w:val="0097562F"/>
    <w:rPr>
      <w:color w:val="009CDA" w:themeColor="background2"/>
      <w:sz w:val="18"/>
    </w:rPr>
  </w:style>
  <w:style w:type="paragraph" w:styleId="NoSpacing">
    <w:name w:val="No Spacing"/>
    <w:uiPriority w:val="1"/>
    <w:qFormat/>
    <w:rsid w:val="00C5466B"/>
    <w:pPr>
      <w:spacing w:after="0" w:line="240" w:lineRule="auto"/>
    </w:pPr>
    <w:rPr>
      <w:rFonts w:ascii="Arial" w:hAnsi="Arial" w:cs="Arial"/>
      <w:color w:val="616264" w:themeColor="text2"/>
      <w:sz w:val="20"/>
      <w:szCs w:val="20"/>
    </w:rPr>
  </w:style>
  <w:style w:type="table" w:customStyle="1" w:styleId="ETFTable1">
    <w:name w:val="ETF Table1"/>
    <w:basedOn w:val="TableNormal"/>
    <w:uiPriority w:val="99"/>
    <w:qFormat/>
    <w:rsid w:val="008D31EC"/>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CDA" w:themeColor="background2"/>
        <w:sz w:val="22"/>
      </w:rPr>
      <w:tblPr/>
      <w:tcPr>
        <w:tcBorders>
          <w:top w:val="single" w:sz="8" w:space="0" w:color="009CDA" w:themeColor="background2"/>
          <w:left w:val="nil"/>
          <w:bottom w:val="single" w:sz="8" w:space="0" w:color="009CDA"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CDA"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paragraph" w:styleId="CommentText">
    <w:name w:val="annotation text"/>
    <w:basedOn w:val="Normal"/>
    <w:link w:val="CommentTextChar"/>
    <w:uiPriority w:val="99"/>
    <w:unhideWhenUsed/>
    <w:rsid w:val="009C4A05"/>
    <w:pPr>
      <w:spacing w:after="0"/>
    </w:pPr>
    <w:rPr>
      <w:rFonts w:ascii="Cambria" w:eastAsia="MS Mincho" w:hAnsi="Cambria" w:cs="Times New Roman"/>
      <w:color w:val="auto"/>
    </w:rPr>
  </w:style>
  <w:style w:type="character" w:customStyle="1" w:styleId="CommentTextChar">
    <w:name w:val="Comment Text Char"/>
    <w:basedOn w:val="DefaultParagraphFont"/>
    <w:link w:val="CommentText"/>
    <w:uiPriority w:val="99"/>
    <w:rsid w:val="009C4A05"/>
    <w:rPr>
      <w:rFonts w:ascii="Cambria" w:eastAsia="MS Mincho" w:hAnsi="Cambria" w:cs="Times New Roman"/>
      <w:sz w:val="20"/>
      <w:szCs w:val="20"/>
      <w:lang w:val="az-Latn-AZ"/>
    </w:rPr>
  </w:style>
  <w:style w:type="paragraph" w:customStyle="1" w:styleId="FootnoteReference2CharCharCharCharChar">
    <w:name w:val="Footnote Reference 2 Char Char Char Char Char"/>
    <w:aliases w:val="16 Point Char Char Char Char Char,Superscript 6 Point Char Char Char Char Char,BVI fnr Char Char Char Char Char,nota pié di pagina Char Char Char Char Char"/>
    <w:basedOn w:val="Normal"/>
    <w:link w:val="FootnoteReference"/>
    <w:rsid w:val="009C4A05"/>
    <w:pPr>
      <w:spacing w:after="160" w:line="240" w:lineRule="exact"/>
    </w:pPr>
    <w:rPr>
      <w:rFonts w:asciiTheme="minorHAnsi" w:hAnsiTheme="minorHAnsi" w:cstheme="minorBidi"/>
      <w:color w:val="auto"/>
      <w:sz w:val="22"/>
      <w:szCs w:val="22"/>
      <w:vertAlign w:val="superscript"/>
    </w:rPr>
  </w:style>
  <w:style w:type="character" w:customStyle="1" w:styleId="ListParagraphChar">
    <w:name w:val="List Paragraph Char"/>
    <w:aliases w:val="Bullet Points Char,Liste Paragraf Char,Listenabsatz1 Char,Bullet List Paragraph Char,List Paragraph1 Char,Level 1 Bullet Char,Bullet List Char,Colorful List - Accent 11 Char,Llista Nivell1 Char,Lista de nivel 1 Char,Bullet list Char"/>
    <w:link w:val="ListParagraph"/>
    <w:uiPriority w:val="34"/>
    <w:qFormat/>
    <w:locked/>
    <w:rsid w:val="009C4A05"/>
    <w:rPr>
      <w:rFonts w:ascii="Arial" w:hAnsi="Arial" w:cs="Arial"/>
      <w:color w:val="616264" w:themeColor="text2"/>
      <w:sz w:val="20"/>
      <w:szCs w:val="20"/>
    </w:rPr>
  </w:style>
  <w:style w:type="character" w:customStyle="1" w:styleId="UnresolvedMention1">
    <w:name w:val="Unresolved Mention1"/>
    <w:basedOn w:val="DefaultParagraphFont"/>
    <w:uiPriority w:val="99"/>
    <w:semiHidden/>
    <w:unhideWhenUsed/>
    <w:rsid w:val="00582640"/>
    <w:rPr>
      <w:color w:val="605E5C"/>
      <w:shd w:val="clear" w:color="auto" w:fill="E1DFDD"/>
    </w:rPr>
  </w:style>
  <w:style w:type="paragraph" w:styleId="EndnoteText">
    <w:name w:val="endnote text"/>
    <w:basedOn w:val="Normal"/>
    <w:link w:val="EndnoteTextChar"/>
    <w:uiPriority w:val="99"/>
    <w:semiHidden/>
    <w:rsid w:val="00E6537A"/>
    <w:pPr>
      <w:spacing w:after="0"/>
    </w:pPr>
  </w:style>
  <w:style w:type="character" w:customStyle="1" w:styleId="EndnoteTextChar">
    <w:name w:val="Endnote Text Char"/>
    <w:basedOn w:val="DefaultParagraphFont"/>
    <w:link w:val="EndnoteText"/>
    <w:uiPriority w:val="99"/>
    <w:semiHidden/>
    <w:rsid w:val="00E6537A"/>
    <w:rPr>
      <w:rFonts w:ascii="Arial" w:hAnsi="Arial" w:cs="Arial"/>
      <w:color w:val="616264" w:themeColor="text2"/>
      <w:sz w:val="20"/>
      <w:szCs w:val="20"/>
    </w:rPr>
  </w:style>
  <w:style w:type="character" w:styleId="EndnoteReference">
    <w:name w:val="endnote reference"/>
    <w:basedOn w:val="DefaultParagraphFont"/>
    <w:uiPriority w:val="99"/>
    <w:semiHidden/>
    <w:rsid w:val="00E6537A"/>
    <w:rPr>
      <w:vertAlign w:val="superscript"/>
    </w:rPr>
  </w:style>
  <w:style w:type="table" w:styleId="PlainTable5">
    <w:name w:val="Plain Table 5"/>
    <w:basedOn w:val="TableNormal"/>
    <w:uiPriority w:val="45"/>
    <w:rsid w:val="00425D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DNIn1">
    <w:name w:val="DNIn1"/>
    <w:basedOn w:val="DefaultParagraphFont"/>
    <w:uiPriority w:val="1"/>
    <w:qFormat/>
    <w:rsid w:val="00390E28"/>
  </w:style>
  <w:style w:type="paragraph" w:customStyle="1" w:styleId="DNEx1">
    <w:name w:val="DNEx1"/>
    <w:basedOn w:val="FootnoteText"/>
    <w:uiPriority w:val="17"/>
    <w:qFormat/>
    <w:rsid w:val="00390E28"/>
  </w:style>
  <w:style w:type="character" w:styleId="CommentReference">
    <w:name w:val="annotation reference"/>
    <w:basedOn w:val="DefaultParagraphFont"/>
    <w:uiPriority w:val="99"/>
    <w:semiHidden/>
    <w:rsid w:val="00CC1819"/>
    <w:rPr>
      <w:sz w:val="16"/>
      <w:szCs w:val="16"/>
    </w:rPr>
  </w:style>
  <w:style w:type="paragraph" w:styleId="CommentSubject">
    <w:name w:val="annotation subject"/>
    <w:basedOn w:val="CommentText"/>
    <w:next w:val="CommentText"/>
    <w:link w:val="CommentSubjectChar"/>
    <w:uiPriority w:val="99"/>
    <w:semiHidden/>
    <w:unhideWhenUsed/>
    <w:rsid w:val="00CC1819"/>
    <w:pPr>
      <w:spacing w:after="200"/>
    </w:pPr>
    <w:rPr>
      <w:rFonts w:ascii="Arial" w:eastAsiaTheme="minorHAnsi" w:hAnsi="Arial" w:cs="Arial"/>
      <w:b/>
      <w:bCs/>
      <w:color w:val="616264" w:themeColor="text2"/>
    </w:rPr>
  </w:style>
  <w:style w:type="character" w:customStyle="1" w:styleId="CommentSubjectChar">
    <w:name w:val="Comment Subject Char"/>
    <w:basedOn w:val="CommentTextChar"/>
    <w:link w:val="CommentSubject"/>
    <w:uiPriority w:val="99"/>
    <w:semiHidden/>
    <w:rsid w:val="00CC1819"/>
    <w:rPr>
      <w:rFonts w:ascii="Arial" w:eastAsia="MS Mincho" w:hAnsi="Arial" w:cs="Arial"/>
      <w:b/>
      <w:bCs/>
      <w:color w:val="616264" w:themeColor="text2"/>
      <w:sz w:val="20"/>
      <w:szCs w:val="20"/>
      <w:lang w:val="az-Latn-AZ"/>
    </w:rPr>
  </w:style>
  <w:style w:type="paragraph" w:styleId="Revision">
    <w:name w:val="Revision"/>
    <w:hidden/>
    <w:uiPriority w:val="99"/>
    <w:semiHidden/>
    <w:rsid w:val="00302F6F"/>
    <w:pPr>
      <w:spacing w:after="0" w:line="240" w:lineRule="auto"/>
    </w:pPr>
    <w:rPr>
      <w:rFonts w:ascii="Arial" w:hAnsi="Arial" w:cs="Arial"/>
      <w:color w:val="616264"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www.e-qanun.az/framework/41741" TargetMode="External"/><Relationship Id="rId2" Type="http://schemas.openxmlformats.org/officeDocument/2006/relationships/hyperlink" Target="http://dim.gov.az/en/docs/" TargetMode="External"/><Relationship Id="rId1" Type="http://schemas.openxmlformats.org/officeDocument/2006/relationships/hyperlink" Target="https://www.etf.europa.eu/sites/default/files/2019-12/kiese_2019.pdf" TargetMode="External"/><Relationship Id="rId5" Type="http://schemas.openxmlformats.org/officeDocument/2006/relationships/hyperlink" Target="https://nk.gov.az/az/document/4997/" TargetMode="External"/><Relationship Id="rId4" Type="http://schemas.openxmlformats.org/officeDocument/2006/relationships/hyperlink" Target="https://www.sosial.gov.az/en/specialty-standard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F618963093497E95986DB6EED7C796"/>
        <w:category>
          <w:name w:val="General"/>
          <w:gallery w:val="placeholder"/>
        </w:category>
        <w:types>
          <w:type w:val="bbPlcHdr"/>
        </w:types>
        <w:behaviors>
          <w:behavior w:val="content"/>
        </w:behaviors>
        <w:guid w:val="{ED162B7B-EB4E-4075-B499-93F859504D82}"/>
      </w:docPartPr>
      <w:docPartBody>
        <w:p w:rsidR="00194937" w:rsidRDefault="00194937">
          <w:pPr>
            <w:pStyle w:val="2CF618963093497E95986DB6EED7C796"/>
          </w:pPr>
          <w:r w:rsidRPr="007E4A0B">
            <w:rPr>
              <w:rStyle w:val="PlaceholderText"/>
            </w:rPr>
            <w:t>ENTER TITLE</w:t>
          </w:r>
        </w:p>
      </w:docPartBody>
    </w:docPart>
    <w:docPart>
      <w:docPartPr>
        <w:name w:val="76002C7838144EA6830E5DA7CE1F20D2"/>
        <w:category>
          <w:name w:val="General"/>
          <w:gallery w:val="placeholder"/>
        </w:category>
        <w:types>
          <w:type w:val="bbPlcHdr"/>
        </w:types>
        <w:behaviors>
          <w:behavior w:val="content"/>
        </w:behaviors>
        <w:guid w:val="{399E5E74-571D-4099-878F-ABB69E7816F4}"/>
      </w:docPartPr>
      <w:docPartBody>
        <w:p w:rsidR="00194937" w:rsidRDefault="00194937">
          <w:pPr>
            <w:pStyle w:val="76002C7838144EA6830E5DA7CE1F20D2"/>
          </w:pPr>
          <w:r w:rsidRPr="007E4A0B">
            <w:rPr>
              <w:rStyle w:val="PlaceholderText"/>
              <w:rFonts w:ascii="Arial" w:hAnsi="Arial" w:cs="Arial"/>
              <w:b/>
              <w:color w:val="44546A" w:themeColor="text2"/>
              <w:sz w:val="36"/>
            </w:rPr>
            <w:t>Insert subtitle here – can span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399">
    <w:altName w:val="Times New Roman"/>
    <w:panose1 w:val="00000000000000000000"/>
    <w:charset w:val="00"/>
    <w:family w:val="auto"/>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d∏Tˇ">
    <w:altName w:val="Cambria"/>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37"/>
    <w:rsid w:val="00194937"/>
    <w:rsid w:val="0038407E"/>
    <w:rsid w:val="003B48CC"/>
    <w:rsid w:val="004A68A8"/>
    <w:rsid w:val="00654949"/>
    <w:rsid w:val="00760676"/>
    <w:rsid w:val="008A45EC"/>
    <w:rsid w:val="008C4E99"/>
    <w:rsid w:val="009B3492"/>
    <w:rsid w:val="009B3DC5"/>
    <w:rsid w:val="00A40227"/>
    <w:rsid w:val="00BF0CF0"/>
    <w:rsid w:val="00D34BD9"/>
    <w:rsid w:val="00EE2740"/>
    <w:rsid w:val="00FB0D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F618963093497E95986DB6EED7C796">
    <w:name w:val="2CF618963093497E95986DB6EED7C796"/>
  </w:style>
  <w:style w:type="paragraph" w:customStyle="1" w:styleId="76002C7838144EA6830E5DA7CE1F20D2">
    <w:name w:val="76002C7838144EA6830E5DA7CE1F20D2"/>
  </w:style>
  <w:style w:type="paragraph" w:styleId="BodyText">
    <w:name w:val="Body Text"/>
    <w:basedOn w:val="Normal"/>
    <w:link w:val="BodyTextChar"/>
    <w:qFormat/>
    <w:pPr>
      <w:spacing w:after="200" w:line="288" w:lineRule="auto"/>
    </w:pPr>
    <w:rPr>
      <w:rFonts w:ascii="Arial" w:eastAsiaTheme="minorHAnsi" w:hAnsi="Arial" w:cs="Arial"/>
      <w:color w:val="44546A" w:themeColor="text2"/>
      <w:sz w:val="20"/>
      <w:szCs w:val="20"/>
      <w:lang w:val="fr-FR" w:eastAsia="en-US"/>
    </w:rPr>
  </w:style>
  <w:style w:type="character" w:customStyle="1" w:styleId="BodyTextChar">
    <w:name w:val="Body Text Char"/>
    <w:basedOn w:val="DefaultParagraphFont"/>
    <w:link w:val="BodyText"/>
    <w:rPr>
      <w:rFonts w:ascii="Arial" w:eastAsiaTheme="minorHAnsi" w:hAnsi="Arial" w:cs="Arial"/>
      <w:color w:val="44546A" w:themeColor="text2"/>
      <w:sz w:val="20"/>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TF (2019)">
      <a:dk1>
        <a:sysClr val="windowText" lastClr="000000"/>
      </a:dk1>
      <a:lt1>
        <a:sysClr val="window" lastClr="FFFFFF"/>
      </a:lt1>
      <a:dk2>
        <a:srgbClr val="616264"/>
      </a:dk2>
      <a:lt2>
        <a:srgbClr val="009CDA"/>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ET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s Document" ma:contentTypeID="0x01010018C77CAB493C4CC28C851D171ACDEB5D02009059892A59A7DD4686876E04846F316D" ma:contentTypeVersion="34" ma:contentTypeDescription="Create a new Operations document" ma:contentTypeScope="" ma:versionID="275116888d3bfd29cd0eefa4585c4f4a">
  <xsd:schema xmlns:xsd="http://www.w3.org/2001/XMLSchema" xmlns:xs="http://www.w3.org/2001/XMLSchema" xmlns:p="http://schemas.microsoft.com/office/2006/metadata/properties" xmlns:ns1="df6b2545-d15d-4d63-86ca-644416e434f8" xmlns:ns2="bd52c674-9eb6-4ff1-85cb-4fb748e524c9" targetNamespace="http://schemas.microsoft.com/office/2006/metadata/properties" ma:root="true" ma:fieldsID="68ff8634df0f613a3e4341d0f00ff45e" ns1:_="" ns2:_="">
    <xsd:import namespace="df6b2545-d15d-4d63-86ca-644416e434f8"/>
    <xsd:import namespace="bd52c674-9eb6-4ff1-85cb-4fb748e524c9"/>
    <xsd:element name="properties">
      <xsd:complexType>
        <xsd:sequence>
          <xsd:element name="documentManagement">
            <xsd:complexType>
              <xsd:all>
                <xsd:element ref="ns1:Operations_x0020_Document_x0020_Type"/>
                <xsd:element ref="ns2:OperationsSubArea"/>
                <xsd:element ref="ns2:ReferenceYear"/>
                <xsd:element ref="ns2:Authors" minOccurs="0"/>
                <xsd:element ref="ns2:ETFLanguage" minOccurs="0"/>
                <xsd:element ref="ns2:ReferenceNumber" minOccurs="0"/>
                <xsd:element ref="ns1:OPS_x0020_Tags" minOccurs="0"/>
                <xsd:element ref="ns2:Operations_x0020_Keywords" minOccurs="0"/>
                <xsd:element ref="ns1:Countries" minOccurs="0"/>
                <xsd:element ref="ns1:Regions" minOccurs="0"/>
                <xsd:element ref="ns1:Functions" minOccurs="0"/>
                <xsd:element ref="ns1:General_x0020_Keywords" minOccurs="0"/>
                <xsd:element ref="ns2:Status" minOccurs="0"/>
                <xsd:element ref="ns2:Origin" minOccurs="0"/>
                <xsd:element ref="ns1:_dlc_DocId" minOccurs="0"/>
                <xsd:element ref="ns1:_dlc_DocIdUrl" minOccurs="0"/>
                <xsd:element ref="ns1:_dlc_DocIdPersistId"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Operations_x0020_Document_x0020_Type" ma:index="0" ma:displayName="Operations Document Type" ma:format="Dropdown" ma:internalName="Operations_x0020_Document_x0020_Type">
      <xsd:simpleType>
        <xsd:restriction base="dms:Choice">
          <xsd:enumeration value="Article"/>
          <xsd:enumeration value="Briefing"/>
          <xsd:enumeration value="Compendium"/>
          <xsd:enumeration value="Context mechanism outcome"/>
          <xsd:enumeration value="Country report"/>
          <xsd:enumeration value="Country fiche"/>
          <xsd:enumeration value="Country strategic perspective"/>
          <xsd:enumeration value="Employability fiche"/>
          <xsd:enumeration value="ETF assessment"/>
          <xsd:enumeration value="ETF review"/>
          <xsd:enumeration value="Formulation fiche"/>
          <xsd:enumeration value="Guide"/>
          <xsd:enumeration value="Identification fiche"/>
          <xsd:enumeration value="Information note"/>
          <xsd:enumeration value="Key indicators"/>
          <xsd:enumeration value="KIESE"/>
          <xsd:enumeration value="Methodology"/>
          <xsd:enumeration value="Note"/>
          <xsd:enumeration value="Policy"/>
          <xsd:enumeration value="Policy brief"/>
          <xsd:enumeration value="Position paper"/>
          <xsd:enumeration value="Project assessment"/>
          <xsd:enumeration value="Project implementation plan"/>
          <xsd:enumeration value="Project leaflet"/>
          <xsd:enumeration value="Publication"/>
          <xsd:enumeration value="Reference document"/>
          <xsd:enumeration value="Region report"/>
          <xsd:enumeration value="Region fiche"/>
          <xsd:enumeration value="Report"/>
          <xsd:enumeration value="Statistical annex"/>
          <xsd:enumeration value="Statistics report"/>
          <xsd:enumeration value="Study"/>
          <xsd:enumeration value="Terms of reference"/>
          <xsd:enumeration value="Thematic paper"/>
          <xsd:enumeration value="Toolkit"/>
          <xsd:enumeration value="TRP annex"/>
          <xsd:enumeration value="Working paper"/>
        </xsd:restriction>
      </xsd:simpleType>
    </xsd:element>
    <xsd:element name="OPS_x0020_Tags" ma:index="8" nillable="true" ma:displayName="OPS Tags" ma:internalName="OPS_x0020_Tags" ma:requiredMultiChoice="true">
      <xsd:complexType>
        <xsd:complexContent>
          <xsd:extension base="dms:MultiChoice">
            <xsd:sequence>
              <xsd:element name="Value" maxOccurs="unbounded" minOccurs="0" nillable="true">
                <xsd:simpleType>
                  <xsd:restriction base="dms:Choice">
                    <xsd:enumeration value="Career Guidance"/>
                    <xsd:enumeration value="Competences"/>
                    <xsd:enumeration value="CVET and adult learning"/>
                    <xsd:enumeration value="Digital Skills &amp; Learning"/>
                    <xsd:enumeration value="Education and business"/>
                    <xsd:enumeration value="Employment and labour market"/>
                    <xsd:enumeration value="Enterprise skills"/>
                    <xsd:enumeration value="Entrepreneurial learning"/>
                    <xsd:enumeration value="Indicators"/>
                    <xsd:enumeration value="Matching and anticipation of skills"/>
                    <xsd:enumeration value="Migration and skills"/>
                    <xsd:enumeration value="Qualifications"/>
                    <xsd:enumeration value="Quality Assurance"/>
                    <xsd:enumeration value="Social partnership"/>
                    <xsd:enumeration value="Teaching and learning"/>
                    <xsd:enumeration value="Validation of prior learning"/>
                    <xsd:enumeration value="VET and social inclusion"/>
                    <xsd:enumeration value="VET and sustainable development"/>
                    <xsd:enumeration value="VET Governance"/>
                    <xsd:enumeration value="VET system assessment"/>
                    <xsd:enumeration value="Work-based learning"/>
                    <xsd:enumeration value="Not Applicable"/>
                  </xsd:restriction>
                </xsd:simpleType>
              </xsd:element>
            </xsd:sequence>
          </xsd:extension>
        </xsd:complexContent>
      </xsd:complexType>
    </xsd:element>
    <xsd:element name="Countries" ma:index="10"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1" nillable="true" ma:displayName="Regions" ma:default="Not Applicable" ma:internalName="Regions"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Functions" ma:index="12" nillable="true" ma:displayName="Functions" ma:internalName="Functions">
      <xsd:complexType>
        <xsd:complexContent>
          <xsd:extension base="dms:MultiChoice">
            <xsd:sequence>
              <xsd:element name="Value" maxOccurs="unbounded" minOccurs="0" nillable="true">
                <xsd:simpleType>
                  <xsd:restriction base="dms:Choice">
                    <xsd:enumeration value="F1 Input to the Commission"/>
                    <xsd:enumeration value="F2 Capacity building"/>
                    <xsd:enumeration value="F3 Policy analysis"/>
                    <xsd:enumeration value="F4 Dissemination and networking"/>
                  </xsd:restriction>
                </xsd:simpleType>
              </xsd:element>
            </xsd:sequence>
          </xsd:extension>
        </xsd:complexContent>
      </xsd:complexType>
    </xsd:element>
    <xsd:element name="General_x0020_Keywords" ma:index="13"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PubSourceDocPublicationStatus" ma:index="25"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6"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52c674-9eb6-4ff1-85cb-4fb748e524c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21"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Serbian"/>
          <xsd:enumeration value="Turkish"/>
          <xsd:enumeration value="Local language"/>
        </xsd:restriction>
      </xsd:simpleType>
    </xsd:element>
    <xsd:element name="ReferenceNumber" ma:index="7" nillable="true" ma:displayName="Reference Number" ma:internalName="ReferenceNumber">
      <xsd:simpleType>
        <xsd:restriction base="dms:Text"/>
      </xsd:simpleType>
    </xsd:element>
    <xsd:element name="Operations_x0020_Keywords" ma:index="9" nillable="true" ma:displayName="Operations Keywords" ma:internalName="Operations_x0020_Keywords">
      <xsd:complexType>
        <xsd:complexContent>
          <xsd:extension base="dms:MultiChoice">
            <xsd:sequence>
              <xsd:element name="Value" maxOccurs="unbounded" minOccurs="0" nillable="true">
                <xsd:simpleType>
                  <xsd:restriction base="dms:Choice">
                    <xsd:enumeration value="Capacity building"/>
                    <xsd:enumeration value="Centres of Vocational Excellence – COVEs"/>
                    <xsd:enumeration value="Dissemination"/>
                    <xsd:enumeration value="Donors cooperation"/>
                    <xsd:enumeration value="Expertise development"/>
                    <xsd:enumeration value="Indicators"/>
                    <xsd:enumeration value="Knowledge management"/>
                    <xsd:enumeration value="Microdata"/>
                    <xsd:enumeration value="Policy advice"/>
                    <xsd:enumeration value="Programming"/>
                    <xsd:enumeration value="Quality for Events"/>
                    <xsd:enumeration value="Regional activities"/>
                    <xsd:enumeration value="Statistics"/>
                    <xsd:enumeration value="Virtual library"/>
                  </xsd:restriction>
                </xsd:simpleType>
              </xsd:element>
            </xsd:sequence>
          </xsd:extension>
        </xsd:complexContent>
      </xsd:complexType>
    </xsd:element>
    <xsd:element name="Status" ma:index="14" nillable="true" ma:displayName="Status" ma:hidden="true" ma:internalName="Status" ma:readOnly="false">
      <xsd:simpleType>
        <xsd:restriction base="dms:Choice">
          <xsd:enumeration value="Draft"/>
          <xsd:enumeration value="Final"/>
          <xsd:enumeration value="Expired"/>
        </xsd:restriction>
      </xsd:simpleType>
    </xsd:element>
    <xsd:element name="Origin" ma:index="15" nillable="true" ma:displayName="Origin" ma:hidden="true" ma:internalName="Origin" ma:readOnly="false">
      <xsd:simpleType>
        <xsd:restriction base="dms:Choice">
          <xsd:enumeration value="ETF"/>
          <xsd:enumeration value="External"/>
          <xsd:enumeration value="Com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Year xmlns="bd52c674-9eb6-4ff1-85cb-4fb748e524c9">2021</ReferenceYear>
    <OPS_x0020_Tags xmlns="df6b2545-d15d-4d63-86ca-644416e434f8">
      <Value>Quality Assurance</Value>
    </OPS_x0020_Tags>
    <Operations_x0020_Document_x0020_Type xmlns="df6b2545-d15d-4d63-86ca-644416e434f8">Country fiche</Operations_x0020_Document_x0020_Type>
    <Intranet xmlns="df6b2545-d15d-4d63-86ca-644416e434f8">false</Intranet>
    <Operations_x0020_Keywords xmlns="bd52c674-9eb6-4ff1-85cb-4fb748e524c9"/>
    <Countries xmlns="df6b2545-d15d-4d63-86ca-644416e434f8">
      <Value>5</Value>
    </Countries>
    <IPubSourceDocPublicationStatus xmlns="df6b2545-d15d-4d63-86ca-644416e434f8" xsi:nil="true"/>
    <Status xmlns="bd52c674-9eb6-4ff1-85cb-4fb748e524c9" xsi:nil="true"/>
    <Origin xmlns="bd52c674-9eb6-4ff1-85cb-4fb748e524c9" xsi:nil="true"/>
    <Regions xmlns="df6b2545-d15d-4d63-86ca-644416e434f8">
      <Value>Not Applicable</Value>
      <Value>Eastern Europe</Value>
    </Regions>
    <Functions xmlns="df6b2545-d15d-4d63-86ca-644416e434f8">
      <Value>F3 Policy analysis</Value>
    </Functions>
    <ETFLanguage xmlns="bd52c674-9eb6-4ff1-85cb-4fb748e524c9">English</ETFLanguage>
    <OperationsSubArea xmlns="bd52c674-9eb6-4ff1-85cb-4fb748e524c9">VET provision and quality</OperationsSubArea>
    <General_x0020_Keywords xmlns="df6b2545-d15d-4d63-86ca-644416e434f8"/>
    <ReferenceNumber xmlns="bd52c674-9eb6-4ff1-85cb-4fb748e524c9">22052019</ReferenceNumber>
    <Authors xmlns="bd52c674-9eb6-4ff1-85cb-4fb748e524c9">Elizabeth Watters</Authors>
    <_dlc_DocId xmlns="df6b2545-d15d-4d63-86ca-644416e434f8">ETFDMS-2141349068-6700</_dlc_DocId>
    <_dlc_DocIdUrl xmlns="df6b2545-d15d-4d63-86ca-644416e434f8">
      <Url>https://sharing.etf.europa.eu/sites/dms/ops/_layouts/15/DocIdRedir.aspx?ID=ETFDMS-2141349068-6700</Url>
      <Description>ETFDMS-2141349068-6700</Description>
    </_dlc_DocIdUrl>
  </documentManagement>
</p:properties>
</file>

<file path=customXml/itemProps1.xml><?xml version="1.0" encoding="utf-8"?>
<ds:datastoreItem xmlns:ds="http://schemas.openxmlformats.org/officeDocument/2006/customXml" ds:itemID="{385F80D8-BE55-4EF3-B30A-436E723223A5}"/>
</file>

<file path=customXml/itemProps2.xml><?xml version="1.0" encoding="utf-8"?>
<ds:datastoreItem xmlns:ds="http://schemas.openxmlformats.org/officeDocument/2006/customXml" ds:itemID="{ADCF308B-1186-45F7-8A85-F1957C299BEB}">
  <ds:schemaRefs>
    <ds:schemaRef ds:uri="http://schemas.openxmlformats.org/officeDocument/2006/bibliography"/>
  </ds:schemaRefs>
</ds:datastoreItem>
</file>

<file path=customXml/itemProps3.xml><?xml version="1.0" encoding="utf-8"?>
<ds:datastoreItem xmlns:ds="http://schemas.openxmlformats.org/officeDocument/2006/customXml" ds:itemID="{69FA0C41-B9A3-49D6-A650-4A22E68F9B2F}">
  <ds:schemaRefs>
    <ds:schemaRef ds:uri="http://schemas.microsoft.com/sharepoint/events"/>
  </ds:schemaRefs>
</ds:datastoreItem>
</file>

<file path=customXml/itemProps4.xml><?xml version="1.0" encoding="utf-8"?>
<ds:datastoreItem xmlns:ds="http://schemas.openxmlformats.org/officeDocument/2006/customXml" ds:itemID="{21FBED0A-4B29-4875-A617-1FFD1DFD1E0C}">
  <ds:schemaRefs>
    <ds:schemaRef ds:uri="http://schemas.microsoft.com/sharepoint/v3/contenttype/forms"/>
  </ds:schemaRefs>
</ds:datastoreItem>
</file>

<file path=customXml/itemProps5.xml><?xml version="1.0" encoding="utf-8"?>
<ds:datastoreItem xmlns:ds="http://schemas.openxmlformats.org/officeDocument/2006/customXml" ds:itemID="{E0B1AA28-03F1-4E62-BA9F-7C700452CCEA}">
  <ds:schemaRefs>
    <ds:schemaRef ds:uri="http://schemas.microsoft.com/office/2006/metadata/properties"/>
    <ds:schemaRef ds:uri="http://schemas.microsoft.com/office/infopath/2007/PartnerControls"/>
    <ds:schemaRef ds:uri="bd52c674-9eb6-4ff1-85cb-4fb748e524c9"/>
    <ds:schemaRef ds:uri="df6b2545-d15d-4d63-86ca-644416e434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2756</Words>
  <Characters>20711</Characters>
  <Application>Microsoft Office Word</Application>
  <DocSecurity>0</DocSecurity>
  <Lines>172</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21_27_2.7 transl 2021_EaP Azerbaijan fiche_EN_AZ</vt:lpstr>
      <vt:lpstr>21_15_2.8 editing QA 2021_EaP Azerbaijan fiche_EN_EN edited</vt:lpstr>
    </vt:vector>
  </TitlesOfParts>
  <Company>CDT</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 2021_EaP Azerbaijan fiche_EN_AZ_edited proofread 11.02.22 clean</dc:title>
  <dc:creator>CDT</dc:creator>
  <cp:lastModifiedBy>Simone Faltz (ETF)</cp:lastModifiedBy>
  <cp:revision>2</cp:revision>
  <cp:lastPrinted>2021-10-24T15:14:00Z</cp:lastPrinted>
  <dcterms:created xsi:type="dcterms:W3CDTF">2022-02-16T12:19:00Z</dcterms:created>
  <dcterms:modified xsi:type="dcterms:W3CDTF">2022-02-16T12:19:00Z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property>
  <property fmtid="{D5CDD505-2E9C-101B-9397-08002B2CF9AE}" pid="3" name="RibbonPtr">
    <vt:lpwstr>272825324</vt:lpwstr>
  </property>
  <property fmtid="{D5CDD505-2E9C-101B-9397-08002B2CF9AE}" pid="4" name="RibbonPtrTurnTownGlobaldotm">
    <vt:lpwstr>271218524</vt:lpwstr>
  </property>
  <property fmtid="{D5CDD505-2E9C-101B-9397-08002B2CF9AE}" pid="5" name="DocFooterTitle">
    <vt:lpwstr>&lt;document title&gt;</vt:lpwstr>
  </property>
  <property fmtid="{D5CDD505-2E9C-101B-9397-08002B2CF9AE}" pid="6" name="DocFooter">
    <vt:lpwstr>USESHORT</vt:lpwstr>
  </property>
  <property fmtid="{D5CDD505-2E9C-101B-9397-08002B2CF9AE}" pid="7" name="DocPath">
    <vt:lpwstr>\\etf.europa.eu\sysvol\etf.europa.eu\etf templates\templates\ETF Report.dotx</vt:lpwstr>
  </property>
  <property fmtid="{D5CDD505-2E9C-101B-9397-08002B2CF9AE}" pid="8" name="DocType">
    <vt:lpwstr>ETF</vt:lpwstr>
  </property>
  <property fmtid="{D5CDD505-2E9C-101B-9397-08002B2CF9AE}" pid="9" name="InitialTemplateVersion">
    <vt:lpwstr>4.1</vt:lpwstr>
  </property>
  <property fmtid="{D5CDD505-2E9C-101B-9397-08002B2CF9AE}" pid="10" name="CurrentTemplateVersion">
    <vt:lpwstr>4.1</vt:lpwstr>
  </property>
  <property fmtid="{D5CDD505-2E9C-101B-9397-08002B2CF9AE}" pid="11" name="DocTemplateName">
    <vt:lpwstr>ETF Report.dotx</vt:lpwstr>
  </property>
  <property fmtid="{D5CDD505-2E9C-101B-9397-08002B2CF9AE}" pid="12" name="DocColour">
    <vt:lpwstr>1</vt:lpwstr>
  </property>
  <property fmtid="{D5CDD505-2E9C-101B-9397-08002B2CF9AE}" pid="13" name="ContentTypeId">
    <vt:lpwstr>0x01010018C77CAB493C4CC28C851D171ACDEB5D02009059892A59A7DD4686876E04846F316D</vt:lpwstr>
  </property>
  <property fmtid="{D5CDD505-2E9C-101B-9397-08002B2CF9AE}" pid="14" name="Area">
    <vt:lpwstr>Operations</vt:lpwstr>
  </property>
  <property fmtid="{D5CDD505-2E9C-101B-9397-08002B2CF9AE}" pid="15" name="_dlc_DocIdItemGuid">
    <vt:lpwstr>ec70c10f-2a51-423a-8843-daec9e135ec9</vt:lpwstr>
  </property>
  <property fmtid="{D5CDD505-2E9C-101B-9397-08002B2CF9AE}" pid="16" name="JobId">
    <vt:lpwstr>97ad910f-dbbf-47f0-b0cf-ade50094d5d4</vt:lpwstr>
  </property>
</Properties>
</file>