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D055" w14:textId="12B1CB74" w:rsidR="00901F71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1" layoutInCell="1" allowOverlap="1" wp14:anchorId="2502642F" wp14:editId="7D03C334">
            <wp:simplePos x="0" y="0"/>
            <wp:positionH relativeFrom="page">
              <wp:posOffset>711835</wp:posOffset>
            </wp:positionH>
            <wp:positionV relativeFrom="page">
              <wp:posOffset>922655</wp:posOffset>
            </wp:positionV>
            <wp:extent cx="1582420" cy="9931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TF_Logo-cropp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420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F7786D">
        <w:rPr>
          <w:b/>
          <w:iCs/>
          <w:color w:val="2E74B5" w:themeColor="accent5" w:themeShade="BF"/>
          <w:sz w:val="32"/>
          <w:szCs w:val="32"/>
        </w:rPr>
        <w:tab/>
      </w:r>
      <w:r w:rsidR="00C52218">
        <w:rPr>
          <w:b/>
          <w:iCs/>
          <w:color w:val="2E74B5" w:themeColor="accent5" w:themeShade="BF"/>
          <w:sz w:val="32"/>
          <w:szCs w:val="32"/>
        </w:rPr>
        <w:t xml:space="preserve">    </w:t>
      </w:r>
    </w:p>
    <w:p w14:paraId="7D0D951F" w14:textId="3C839CE9" w:rsidR="00992FC0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</w:p>
    <w:p w14:paraId="1F586158" w14:textId="50650567" w:rsidR="00992FC0" w:rsidRDefault="00992FC0" w:rsidP="00231A77">
      <w:pPr>
        <w:rPr>
          <w:b/>
          <w:iCs/>
          <w:color w:val="2E74B5" w:themeColor="accent5" w:themeShade="BF"/>
          <w:sz w:val="32"/>
          <w:szCs w:val="32"/>
        </w:rPr>
      </w:pPr>
    </w:p>
    <w:p w14:paraId="6A5A9915" w14:textId="7A8DD0DC" w:rsidR="006A7B61" w:rsidRPr="006A7B61" w:rsidRDefault="006A7B61" w:rsidP="006A7B61">
      <w:pPr>
        <w:keepNext/>
        <w:keepLines/>
        <w:spacing w:before="480" w:after="360" w:line="240" w:lineRule="auto"/>
        <w:outlineLvl w:val="0"/>
        <w:rPr>
          <w:rFonts w:ascii="Arial" w:eastAsia="Times New Roman" w:hAnsi="Arial" w:cs="Times New Roman"/>
          <w:b/>
          <w:bCs/>
          <w:caps/>
          <w:color w:val="0092BB"/>
          <w:sz w:val="96"/>
          <w:szCs w:val="36"/>
        </w:rPr>
      </w:pPr>
      <w:r w:rsidRPr="006A7B61">
        <w:rPr>
          <w:rFonts w:ascii="Arial" w:eastAsia="Times New Roman" w:hAnsi="Arial" w:cs="Times New Roman"/>
          <w:b/>
          <w:bCs/>
          <w:caps/>
          <w:color w:val="0092BB"/>
          <w:sz w:val="96"/>
          <w:szCs w:val="36"/>
        </w:rPr>
        <w:t>AGENDA</w:t>
      </w:r>
    </w:p>
    <w:sdt>
      <w:sdtPr>
        <w:rPr>
          <w:rFonts w:ascii="Arial" w:eastAsia="Calibri" w:hAnsi="Arial" w:cs="Arial"/>
          <w:b/>
          <w:caps/>
          <w:color w:val="0092BB"/>
          <w:sz w:val="40"/>
          <w:szCs w:val="20"/>
        </w:rPr>
        <w:tag w:val="EventName"/>
        <w:id w:val="1197965990"/>
        <w:placeholder>
          <w:docPart w:val="619BAFF558834EC2AA51DACE685DE95F"/>
        </w:placeholder>
        <w:text/>
      </w:sdtPr>
      <w:sdtEndPr/>
      <w:sdtContent>
        <w:p w14:paraId="30AFBA75" w14:textId="23C04F9C" w:rsidR="006A7B61" w:rsidRPr="006A7B61" w:rsidRDefault="0071267E" w:rsidP="006A7B61">
          <w:pPr>
            <w:spacing w:after="200" w:line="288" w:lineRule="auto"/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</w:pPr>
          <w:r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  <w:t>Skills mismatch measurement</w:t>
          </w:r>
          <w:r w:rsidR="00C52218">
            <w:rPr>
              <w:rFonts w:ascii="Arial" w:eastAsia="Calibri" w:hAnsi="Arial" w:cs="Arial"/>
              <w:b/>
              <w:caps/>
              <w:color w:val="0092BB"/>
              <w:sz w:val="40"/>
              <w:szCs w:val="20"/>
            </w:rPr>
            <w:t xml:space="preserve"> </w:t>
          </w:r>
        </w:p>
      </w:sdtContent>
    </w:sdt>
    <w:sdt>
      <w:sdtPr>
        <w:rPr>
          <w:rFonts w:ascii="Arial" w:eastAsia="Calibri" w:hAnsi="Arial" w:cs="Arial"/>
          <w:i/>
          <w:caps/>
          <w:color w:val="0074A3"/>
          <w:sz w:val="32"/>
          <w:szCs w:val="32"/>
        </w:rPr>
        <w:tag w:val="Location"/>
        <w:id w:val="1786997560"/>
        <w:placeholder>
          <w:docPart w:val="C9488D554D1247F6A63D957CE1EA4F0D"/>
        </w:placeholder>
        <w:text/>
      </w:sdtPr>
      <w:sdtEndPr/>
      <w:sdtContent>
        <w:p w14:paraId="6090EFB2" w14:textId="11BD67A9" w:rsidR="006A7B61" w:rsidRPr="006A7B61" w:rsidRDefault="0071267E" w:rsidP="006A7B61">
          <w:pPr>
            <w:spacing w:after="200" w:line="288" w:lineRule="auto"/>
            <w:rPr>
              <w:rFonts w:ascii="Arial" w:eastAsia="Calibri" w:hAnsi="Arial" w:cs="Arial"/>
              <w:caps/>
              <w:color w:val="0092BB"/>
              <w:sz w:val="28"/>
              <w:szCs w:val="20"/>
            </w:rPr>
          </w:pPr>
          <w:r>
            <w:rPr>
              <w:rFonts w:ascii="Arial" w:eastAsia="Calibri" w:hAnsi="Arial" w:cs="Arial"/>
              <w:i/>
              <w:caps/>
              <w:color w:val="0074A3"/>
              <w:sz w:val="32"/>
              <w:szCs w:val="32"/>
            </w:rPr>
            <w:t xml:space="preserve">country case - </w:t>
          </w:r>
          <w:r w:rsidR="00511DC4">
            <w:rPr>
              <w:rFonts w:ascii="Arial" w:eastAsia="Calibri" w:hAnsi="Arial" w:cs="Arial"/>
              <w:i/>
              <w:caps/>
              <w:color w:val="0074A3"/>
              <w:sz w:val="32"/>
              <w:szCs w:val="32"/>
            </w:rPr>
            <w:t>MONt</w:t>
          </w:r>
          <w:r w:rsidR="00D22C69">
            <w:rPr>
              <w:rFonts w:ascii="Arial" w:eastAsia="Calibri" w:hAnsi="Arial" w:cs="Arial"/>
              <w:i/>
              <w:caps/>
              <w:color w:val="0074A3"/>
              <w:sz w:val="32"/>
              <w:szCs w:val="32"/>
            </w:rPr>
            <w:t>enegro</w:t>
          </w:r>
        </w:p>
      </w:sdtContent>
    </w:sdt>
    <w:sdt>
      <w:sdtPr>
        <w:rPr>
          <w:rFonts w:ascii="Arial" w:eastAsia="Calibri" w:hAnsi="Arial" w:cs="Arial"/>
          <w:b/>
          <w:bCs/>
          <w:color w:val="0092BB"/>
          <w:sz w:val="28"/>
          <w:szCs w:val="20"/>
        </w:rPr>
        <w:tag w:val="Date"/>
        <w:id w:val="-1864589357"/>
        <w:placeholder>
          <w:docPart w:val="5D3FAD44AFE84890A28047E374B11A99"/>
        </w:placeholder>
        <w:text/>
      </w:sdtPr>
      <w:sdtEndPr/>
      <w:sdtContent>
        <w:p w14:paraId="33486DA9" w14:textId="0DFFE253" w:rsidR="006A7B61" w:rsidRPr="00B057F3" w:rsidRDefault="00D22C69" w:rsidP="006A7B61">
          <w:pPr>
            <w:spacing w:after="200" w:line="288" w:lineRule="auto"/>
            <w:rPr>
              <w:rFonts w:ascii="Arial" w:eastAsia="Calibri" w:hAnsi="Arial" w:cs="Arial"/>
              <w:b/>
              <w:bCs/>
              <w:caps/>
              <w:color w:val="0092BB"/>
              <w:sz w:val="28"/>
              <w:szCs w:val="20"/>
            </w:rPr>
          </w:pP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1</w:t>
          </w:r>
          <w:r w:rsidR="0071267E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 Ju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ly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 202</w:t>
          </w:r>
          <w:r w:rsidR="00D77B8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1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, 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1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.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3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 – 1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2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.</w:t>
          </w:r>
          <w:r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</w:t>
          </w:r>
          <w:r w:rsidR="00045EAF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>0</w:t>
          </w:r>
          <w:r w:rsidR="00B057F3" w:rsidRPr="00B057F3">
            <w:rPr>
              <w:rFonts w:ascii="Arial" w:eastAsia="Calibri" w:hAnsi="Arial" w:cs="Arial"/>
              <w:b/>
              <w:bCs/>
              <w:color w:val="0092BB"/>
              <w:sz w:val="28"/>
              <w:szCs w:val="20"/>
            </w:rPr>
            <w:t xml:space="preserve"> hrs (CET) </w:t>
          </w:r>
        </w:p>
      </w:sdtContent>
    </w:sdt>
    <w:p w14:paraId="7B9BD5DC" w14:textId="39013E8E" w:rsidR="002C51E4" w:rsidRPr="003F5EAB" w:rsidRDefault="002C51E4" w:rsidP="00120C45">
      <w:pPr>
        <w:pBdr>
          <w:top w:val="single" w:sz="8" w:space="31" w:color="616264"/>
        </w:pBdr>
        <w:spacing w:before="240" w:after="240" w:line="240" w:lineRule="auto"/>
        <w:ind w:right="1304"/>
        <w:rPr>
          <w:rFonts w:ascii="Arial" w:eastAsia="Calibri" w:hAnsi="Arial" w:cs="Arial"/>
          <w:b/>
          <w:color w:val="0092BB"/>
          <w:sz w:val="28"/>
          <w:szCs w:val="28"/>
        </w:rPr>
      </w:pPr>
      <w:r w:rsidRPr="003F5EAB">
        <w:rPr>
          <w:rFonts w:ascii="Arial" w:eastAsia="Calibri" w:hAnsi="Arial" w:cs="Arial"/>
          <w:b/>
          <w:color w:val="0092BB"/>
          <w:sz w:val="28"/>
          <w:szCs w:val="28"/>
        </w:rPr>
        <w:t>INTRODUCTION</w:t>
      </w:r>
    </w:p>
    <w:p w14:paraId="6A26FDEF" w14:textId="56E33FE6" w:rsidR="0071267E" w:rsidRDefault="001D7418" w:rsidP="001D741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The European Training Foundation (ETF)</w:t>
      </w:r>
      <w:r w:rsidR="00D77B83"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r w:rsidR="0071267E">
        <w:rPr>
          <w:rFonts w:ascii="Arial" w:eastAsia="Calibri" w:hAnsi="Arial" w:cs="Arial"/>
          <w:color w:val="616264"/>
          <w:sz w:val="20"/>
          <w:szCs w:val="20"/>
        </w:rPr>
        <w:t xml:space="preserve">has launched in 2020 a </w:t>
      </w:r>
      <w:r w:rsidR="00133B81">
        <w:rPr>
          <w:rFonts w:ascii="Arial" w:eastAsia="Calibri" w:hAnsi="Arial" w:cs="Arial"/>
          <w:color w:val="616264"/>
          <w:sz w:val="20"/>
          <w:szCs w:val="20"/>
        </w:rPr>
        <w:t>new initiative for measuring the incidence of skills mismatches in the EU Neighbourhood and Central Asia</w:t>
      </w:r>
      <w:r w:rsidR="00E7507C">
        <w:rPr>
          <w:rFonts w:ascii="Arial" w:eastAsia="Calibri" w:hAnsi="Arial" w:cs="Arial"/>
          <w:color w:val="616264"/>
          <w:sz w:val="20"/>
          <w:szCs w:val="20"/>
        </w:rPr>
        <w:t xml:space="preserve"> (ETF Partner Countries)</w:t>
      </w:r>
      <w:r w:rsidR="00133B81">
        <w:rPr>
          <w:rFonts w:ascii="Arial" w:eastAsia="Calibri" w:hAnsi="Arial" w:cs="Arial"/>
          <w:color w:val="616264"/>
          <w:sz w:val="20"/>
          <w:szCs w:val="20"/>
        </w:rPr>
        <w:t xml:space="preserve">. </w:t>
      </w:r>
      <w:r w:rsidR="00A15048">
        <w:rPr>
          <w:rFonts w:ascii="Arial" w:eastAsia="Calibri" w:hAnsi="Arial" w:cs="Arial"/>
          <w:color w:val="616264"/>
          <w:sz w:val="20"/>
          <w:szCs w:val="20"/>
        </w:rPr>
        <w:t xml:space="preserve">Several countries have been included in the first and second phase of the project, including </w:t>
      </w:r>
      <w:r w:rsidR="006F27BE">
        <w:rPr>
          <w:rFonts w:ascii="Arial" w:eastAsia="Calibri" w:hAnsi="Arial" w:cs="Arial"/>
          <w:color w:val="616264"/>
          <w:sz w:val="20"/>
          <w:szCs w:val="20"/>
        </w:rPr>
        <w:t>Montenegro</w:t>
      </w:r>
      <w:r w:rsidR="00BA59FB">
        <w:rPr>
          <w:rFonts w:ascii="Arial" w:eastAsia="Calibri" w:hAnsi="Arial" w:cs="Arial"/>
          <w:color w:val="616264"/>
          <w:sz w:val="20"/>
          <w:szCs w:val="20"/>
        </w:rPr>
        <w:t xml:space="preserve"> and other countries from the Enlargement region</w:t>
      </w:r>
      <w:r w:rsidR="00A15048">
        <w:rPr>
          <w:rFonts w:ascii="Arial" w:eastAsia="Calibri" w:hAnsi="Arial" w:cs="Arial"/>
          <w:color w:val="616264"/>
          <w:sz w:val="20"/>
          <w:szCs w:val="20"/>
        </w:rPr>
        <w:t xml:space="preserve">. </w:t>
      </w:r>
    </w:p>
    <w:p w14:paraId="73C7611F" w14:textId="77777777" w:rsidR="00E7507C" w:rsidRPr="00E7507C" w:rsidRDefault="00E7507C" w:rsidP="001D741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00E7507C">
        <w:rPr>
          <w:rFonts w:ascii="Arial" w:eastAsia="Calibri" w:hAnsi="Arial" w:cs="Arial"/>
          <w:color w:val="616264"/>
          <w:sz w:val="20"/>
          <w:szCs w:val="20"/>
        </w:rPr>
        <w:t>The objectives of the skills mismatch assessment in the Partner Countries are as follows:</w:t>
      </w:r>
    </w:p>
    <w:p w14:paraId="1DDC1360" w14:textId="18FD4BAD" w:rsidR="00E7507C" w:rsidRPr="00E7507C" w:rsidRDefault="00E7507C" w:rsidP="00E7507C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00E7507C">
        <w:rPr>
          <w:rFonts w:ascii="Arial" w:eastAsia="Calibri" w:hAnsi="Arial" w:cs="Arial"/>
          <w:color w:val="616264"/>
          <w:sz w:val="20"/>
          <w:szCs w:val="20"/>
        </w:rPr>
        <w:t>To calculate skills mismatch indicators, with focus on vertical and, where possible, horizontal mismatch, on relevant age groups (e.g. young vs. adults) and types of education (e.g. VET vs. non-VET)</w:t>
      </w:r>
      <w:r w:rsidR="006F27BE">
        <w:rPr>
          <w:rFonts w:ascii="Arial" w:eastAsia="Calibri" w:hAnsi="Arial" w:cs="Arial"/>
          <w:color w:val="616264"/>
          <w:sz w:val="20"/>
          <w:szCs w:val="20"/>
        </w:rPr>
        <w:t>,</w:t>
      </w:r>
      <w:r w:rsidRPr="00E7507C">
        <w:rPr>
          <w:rFonts w:ascii="Arial" w:eastAsia="Calibri" w:hAnsi="Arial" w:cs="Arial"/>
          <w:color w:val="616264"/>
          <w:sz w:val="20"/>
          <w:szCs w:val="20"/>
        </w:rPr>
        <w:t xml:space="preserve"> </w:t>
      </w:r>
    </w:p>
    <w:p w14:paraId="32B93076" w14:textId="4C30D602" w:rsidR="00E7507C" w:rsidRPr="00E7507C" w:rsidRDefault="00E7507C" w:rsidP="00E7507C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00E7507C">
        <w:rPr>
          <w:rFonts w:ascii="Arial" w:eastAsia="Calibri" w:hAnsi="Arial" w:cs="Arial"/>
          <w:color w:val="616264"/>
          <w:sz w:val="20"/>
          <w:szCs w:val="20"/>
        </w:rPr>
        <w:t xml:space="preserve">To take stock of innovation in data interpretation to better inform education and employment </w:t>
      </w:r>
      <w:r w:rsidR="006F27BE" w:rsidRPr="00E7507C">
        <w:rPr>
          <w:rFonts w:ascii="Arial" w:eastAsia="Calibri" w:hAnsi="Arial" w:cs="Arial"/>
          <w:color w:val="616264"/>
          <w:sz w:val="20"/>
          <w:szCs w:val="20"/>
        </w:rPr>
        <w:t>policies</w:t>
      </w:r>
      <w:r w:rsidR="006F27BE">
        <w:rPr>
          <w:rFonts w:ascii="Arial" w:eastAsia="Calibri" w:hAnsi="Arial" w:cs="Arial"/>
          <w:color w:val="616264"/>
          <w:sz w:val="20"/>
          <w:szCs w:val="20"/>
        </w:rPr>
        <w:t>,</w:t>
      </w:r>
      <w:r w:rsidRPr="00E7507C">
        <w:rPr>
          <w:rFonts w:ascii="Arial" w:eastAsia="Calibri" w:hAnsi="Arial" w:cs="Arial"/>
          <w:color w:val="616264"/>
          <w:sz w:val="20"/>
          <w:szCs w:val="20"/>
        </w:rPr>
        <w:t xml:space="preserve"> </w:t>
      </w:r>
    </w:p>
    <w:p w14:paraId="6E9E7B95" w14:textId="150D1A5D" w:rsidR="00E7507C" w:rsidRPr="00E7507C" w:rsidRDefault="00E7507C" w:rsidP="00E7507C">
      <w:pPr>
        <w:pStyle w:val="ListParagraph"/>
        <w:numPr>
          <w:ilvl w:val="0"/>
          <w:numId w:val="24"/>
        </w:num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 w:rsidRPr="00E7507C">
        <w:rPr>
          <w:rFonts w:ascii="Arial" w:eastAsia="Calibri" w:hAnsi="Arial" w:cs="Arial"/>
          <w:color w:val="616264"/>
          <w:sz w:val="20"/>
          <w:szCs w:val="20"/>
        </w:rPr>
        <w:t>To provide documented inputs to regular monitoring processes or progress updates on education and labour markets in the ETF Partner Countries, including orientation of EU funding/support in the respective countries.</w:t>
      </w:r>
    </w:p>
    <w:p w14:paraId="66B49AA0" w14:textId="4529D598" w:rsidR="00A15048" w:rsidRDefault="004B36E4" w:rsidP="001D741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 xml:space="preserve">To this end, the European Training Foundation </w:t>
      </w:r>
      <w:r w:rsidR="007F5D69">
        <w:rPr>
          <w:rFonts w:ascii="Arial" w:eastAsia="Calibri" w:hAnsi="Arial" w:cs="Arial"/>
          <w:color w:val="616264"/>
          <w:sz w:val="20"/>
          <w:szCs w:val="20"/>
        </w:rPr>
        <w:t>and</w:t>
      </w:r>
      <w:r>
        <w:rPr>
          <w:rFonts w:ascii="Arial" w:eastAsia="Calibri" w:hAnsi="Arial" w:cs="Arial"/>
          <w:color w:val="616264"/>
          <w:sz w:val="20"/>
          <w:szCs w:val="20"/>
        </w:rPr>
        <w:t xml:space="preserve"> </w:t>
      </w:r>
      <w:proofErr w:type="spellStart"/>
      <w:r w:rsidR="004179D1">
        <w:rPr>
          <w:rFonts w:ascii="Arial" w:eastAsia="Calibri" w:hAnsi="Arial" w:cs="Arial"/>
          <w:color w:val="616264"/>
          <w:sz w:val="20"/>
          <w:szCs w:val="20"/>
        </w:rPr>
        <w:t>Economix</w:t>
      </w:r>
      <w:proofErr w:type="spellEnd"/>
      <w:r w:rsidR="004179D1">
        <w:rPr>
          <w:rFonts w:ascii="Arial" w:eastAsia="Calibri" w:hAnsi="Arial" w:cs="Arial"/>
          <w:color w:val="616264"/>
          <w:sz w:val="20"/>
          <w:szCs w:val="20"/>
        </w:rPr>
        <w:t xml:space="preserve"> Research and Consulting </w:t>
      </w:r>
      <w:r w:rsidR="00911B29">
        <w:rPr>
          <w:rFonts w:ascii="Arial" w:eastAsia="Calibri" w:hAnsi="Arial" w:cs="Arial"/>
          <w:color w:val="616264"/>
          <w:sz w:val="20"/>
          <w:szCs w:val="20"/>
        </w:rPr>
        <w:t xml:space="preserve">have developed </w:t>
      </w:r>
      <w:r w:rsidR="00F95DD9">
        <w:rPr>
          <w:rFonts w:ascii="Arial" w:eastAsia="Calibri" w:hAnsi="Arial" w:cs="Arial"/>
          <w:color w:val="616264"/>
          <w:sz w:val="20"/>
          <w:szCs w:val="20"/>
        </w:rPr>
        <w:t xml:space="preserve">and calculated </w:t>
      </w:r>
      <w:r w:rsidR="00911B29">
        <w:rPr>
          <w:rFonts w:ascii="Arial" w:eastAsia="Calibri" w:hAnsi="Arial" w:cs="Arial"/>
          <w:color w:val="616264"/>
          <w:sz w:val="20"/>
          <w:szCs w:val="20"/>
        </w:rPr>
        <w:t xml:space="preserve">a </w:t>
      </w:r>
      <w:r w:rsidR="009F3D15">
        <w:rPr>
          <w:rFonts w:ascii="Arial" w:eastAsia="Calibri" w:hAnsi="Arial" w:cs="Arial"/>
          <w:color w:val="616264"/>
          <w:sz w:val="20"/>
          <w:szCs w:val="20"/>
        </w:rPr>
        <w:t>standard set of indicators for measuring skills mismatches, in line with data availability and accessibility in the Partner Countries</w:t>
      </w:r>
      <w:r w:rsidR="00454D12">
        <w:rPr>
          <w:rFonts w:ascii="Arial" w:eastAsia="Calibri" w:hAnsi="Arial" w:cs="Arial"/>
          <w:color w:val="616264"/>
          <w:sz w:val="20"/>
          <w:szCs w:val="20"/>
        </w:rPr>
        <w:t xml:space="preserve">, and international and European </w:t>
      </w:r>
      <w:r w:rsidR="00F95DD9">
        <w:rPr>
          <w:rFonts w:ascii="Arial" w:eastAsia="Calibri" w:hAnsi="Arial" w:cs="Arial"/>
          <w:color w:val="616264"/>
          <w:sz w:val="20"/>
          <w:szCs w:val="20"/>
        </w:rPr>
        <w:t>standard approaches and definitions or previous research (ILO, ILOSTAT, EUROSTAT, CEDEFOP, OECD).</w:t>
      </w:r>
    </w:p>
    <w:p w14:paraId="2F9439FF" w14:textId="0B861A7E" w:rsidR="0000258A" w:rsidRDefault="00F95DD9" w:rsidP="00280E9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>The objective</w:t>
      </w:r>
      <w:r w:rsidR="00F73840">
        <w:rPr>
          <w:rFonts w:ascii="Arial" w:eastAsia="Calibri" w:hAnsi="Arial" w:cs="Arial"/>
          <w:color w:val="616264"/>
          <w:sz w:val="20"/>
          <w:szCs w:val="20"/>
        </w:rPr>
        <w:t>s</w:t>
      </w:r>
      <w:r>
        <w:rPr>
          <w:rFonts w:ascii="Arial" w:eastAsia="Calibri" w:hAnsi="Arial" w:cs="Arial"/>
          <w:color w:val="616264"/>
          <w:sz w:val="20"/>
          <w:szCs w:val="20"/>
        </w:rPr>
        <w:t xml:space="preserve"> of this meeting </w:t>
      </w:r>
      <w:r w:rsidR="00B1551A">
        <w:rPr>
          <w:rFonts w:ascii="Arial" w:eastAsia="Calibri" w:hAnsi="Arial" w:cs="Arial"/>
          <w:color w:val="616264"/>
          <w:sz w:val="20"/>
          <w:szCs w:val="20"/>
        </w:rPr>
        <w:t>are</w:t>
      </w:r>
      <w:r>
        <w:rPr>
          <w:rFonts w:ascii="Arial" w:eastAsia="Calibri" w:hAnsi="Arial" w:cs="Arial"/>
          <w:color w:val="616264"/>
          <w:sz w:val="20"/>
          <w:szCs w:val="20"/>
        </w:rPr>
        <w:t xml:space="preserve"> to share the preliminary results of mismatch calculation using </w:t>
      </w:r>
      <w:r w:rsidR="00104F9B">
        <w:rPr>
          <w:rFonts w:ascii="Arial" w:eastAsia="Calibri" w:hAnsi="Arial" w:cs="Arial"/>
          <w:color w:val="616264"/>
          <w:sz w:val="20"/>
          <w:szCs w:val="20"/>
        </w:rPr>
        <w:t xml:space="preserve">Montenegro </w:t>
      </w:r>
      <w:r>
        <w:rPr>
          <w:rFonts w:ascii="Arial" w:eastAsia="Calibri" w:hAnsi="Arial" w:cs="Arial"/>
          <w:color w:val="616264"/>
          <w:sz w:val="20"/>
          <w:szCs w:val="20"/>
        </w:rPr>
        <w:t>datasets (in particular Labour Force Survey)</w:t>
      </w:r>
      <w:r w:rsidR="00F73840">
        <w:rPr>
          <w:rFonts w:ascii="Arial" w:eastAsia="Calibri" w:hAnsi="Arial" w:cs="Arial"/>
          <w:color w:val="616264"/>
          <w:sz w:val="20"/>
          <w:szCs w:val="20"/>
        </w:rPr>
        <w:t xml:space="preserve"> and briefly discuss the mai</w:t>
      </w:r>
      <w:r w:rsidR="004B3E51">
        <w:rPr>
          <w:rFonts w:ascii="Arial" w:eastAsia="Calibri" w:hAnsi="Arial" w:cs="Arial"/>
          <w:color w:val="616264"/>
          <w:sz w:val="20"/>
          <w:szCs w:val="20"/>
        </w:rPr>
        <w:t xml:space="preserve">n takeaways for policy actions, or new research/knowledge expansion as well as capacity building in the area of skills intelligence and further opportunities </w:t>
      </w:r>
      <w:r w:rsidR="00B1551A">
        <w:rPr>
          <w:rFonts w:ascii="Arial" w:eastAsia="Calibri" w:hAnsi="Arial" w:cs="Arial"/>
          <w:color w:val="616264"/>
          <w:sz w:val="20"/>
          <w:szCs w:val="20"/>
        </w:rPr>
        <w:t>for cooperation with the ETF and other stakeholders</w:t>
      </w:r>
      <w:r w:rsidR="004B3E51">
        <w:rPr>
          <w:rFonts w:ascii="Arial" w:eastAsia="Calibri" w:hAnsi="Arial" w:cs="Arial"/>
          <w:color w:val="616264"/>
          <w:sz w:val="20"/>
          <w:szCs w:val="20"/>
        </w:rPr>
        <w:t>.</w:t>
      </w:r>
    </w:p>
    <w:p w14:paraId="3CAE0C50" w14:textId="09D49092" w:rsidR="006E6887" w:rsidRDefault="0000258A" w:rsidP="00280E9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t xml:space="preserve">The working languages of the event are </w:t>
      </w:r>
      <w:r w:rsidR="00D22C69">
        <w:rPr>
          <w:rFonts w:ascii="Arial" w:eastAsia="Calibri" w:hAnsi="Arial" w:cs="Arial"/>
          <w:color w:val="616264"/>
          <w:sz w:val="20"/>
          <w:szCs w:val="20"/>
        </w:rPr>
        <w:t>Montenegrin</w:t>
      </w:r>
      <w:r>
        <w:rPr>
          <w:rFonts w:ascii="Arial" w:eastAsia="Calibri" w:hAnsi="Arial" w:cs="Arial"/>
          <w:color w:val="616264"/>
          <w:sz w:val="20"/>
          <w:szCs w:val="20"/>
        </w:rPr>
        <w:t xml:space="preserve"> and English. </w:t>
      </w:r>
      <w:r w:rsidR="006E6887">
        <w:rPr>
          <w:rFonts w:ascii="Arial" w:eastAsia="Calibri" w:hAnsi="Arial" w:cs="Arial"/>
          <w:color w:val="616264"/>
          <w:sz w:val="20"/>
          <w:szCs w:val="20"/>
        </w:rPr>
        <w:br w:type="page"/>
      </w:r>
    </w:p>
    <w:p w14:paraId="28E3F9D3" w14:textId="7C1B3EBD" w:rsidR="00F95DD9" w:rsidRDefault="00F95DD9" w:rsidP="001D7418">
      <w:pPr>
        <w:spacing w:after="200" w:line="288" w:lineRule="auto"/>
        <w:rPr>
          <w:rFonts w:ascii="Arial" w:eastAsia="Calibri" w:hAnsi="Arial" w:cs="Arial"/>
          <w:color w:val="616264"/>
          <w:sz w:val="20"/>
          <w:szCs w:val="20"/>
        </w:rPr>
      </w:pPr>
      <w:r>
        <w:rPr>
          <w:rFonts w:ascii="Arial" w:eastAsia="Calibri" w:hAnsi="Arial" w:cs="Arial"/>
          <w:color w:val="616264"/>
          <w:sz w:val="20"/>
          <w:szCs w:val="20"/>
        </w:rPr>
        <w:lastRenderedPageBreak/>
        <w:t xml:space="preserve"> </w:t>
      </w:r>
    </w:p>
    <w:p w14:paraId="7479C569" w14:textId="000774CE" w:rsidR="006A7B61" w:rsidRDefault="006E6887" w:rsidP="006A7B61">
      <w:pPr>
        <w:keepNext/>
        <w:keepLines/>
        <w:spacing w:after="280" w:line="288" w:lineRule="auto"/>
        <w:rPr>
          <w:rFonts w:ascii="Arial" w:eastAsia="Calibri" w:hAnsi="Arial" w:cs="Arial"/>
          <w:b/>
          <w:caps/>
          <w:color w:val="0092BB"/>
          <w:sz w:val="36"/>
          <w:szCs w:val="28"/>
        </w:rPr>
      </w:pPr>
      <w:bookmarkStart w:id="0" w:name="_Hlk56618747"/>
      <w:bookmarkStart w:id="1" w:name="_Hlk56680731"/>
      <w:r>
        <w:rPr>
          <w:rFonts w:ascii="Arial" w:eastAsia="Calibri" w:hAnsi="Arial" w:cs="Arial"/>
          <w:b/>
          <w:caps/>
          <w:color w:val="0092BB"/>
          <w:sz w:val="36"/>
          <w:szCs w:val="28"/>
        </w:rPr>
        <w:t>Thurs</w:t>
      </w:r>
      <w:r w:rsidR="001F06E8">
        <w:rPr>
          <w:rFonts w:ascii="Arial" w:eastAsia="Calibri" w:hAnsi="Arial" w:cs="Arial"/>
          <w:b/>
          <w:caps/>
          <w:color w:val="0092BB"/>
          <w:sz w:val="36"/>
          <w:szCs w:val="28"/>
        </w:rPr>
        <w:t>day</w:t>
      </w:r>
      <w:r w:rsidR="00C52218">
        <w:rPr>
          <w:rFonts w:ascii="Arial" w:eastAsia="Calibri" w:hAnsi="Arial" w:cs="Arial"/>
          <w:b/>
          <w:caps/>
          <w:color w:val="0092BB"/>
          <w:sz w:val="36"/>
          <w:szCs w:val="28"/>
        </w:rPr>
        <w:t xml:space="preserve">, </w:t>
      </w:r>
      <w:r w:rsidR="00D22C69">
        <w:rPr>
          <w:rFonts w:ascii="Arial" w:eastAsia="Calibri" w:hAnsi="Arial" w:cs="Arial"/>
          <w:b/>
          <w:caps/>
          <w:color w:val="0092BB"/>
          <w:sz w:val="36"/>
          <w:szCs w:val="28"/>
        </w:rPr>
        <w:t>1</w:t>
      </w:r>
      <w:r>
        <w:rPr>
          <w:rFonts w:ascii="Arial" w:eastAsia="Calibri" w:hAnsi="Arial" w:cs="Arial"/>
          <w:b/>
          <w:caps/>
          <w:color w:val="0092BB"/>
          <w:sz w:val="36"/>
          <w:szCs w:val="28"/>
        </w:rPr>
        <w:t xml:space="preserve"> j</w:t>
      </w:r>
      <w:r w:rsidR="00D22C69">
        <w:rPr>
          <w:rFonts w:ascii="Arial" w:eastAsia="Calibri" w:hAnsi="Arial" w:cs="Arial"/>
          <w:b/>
          <w:caps/>
          <w:color w:val="0092BB"/>
          <w:sz w:val="36"/>
          <w:szCs w:val="28"/>
        </w:rPr>
        <w:t>ULY</w:t>
      </w:r>
      <w:r w:rsidR="00C52218">
        <w:rPr>
          <w:rFonts w:ascii="Arial" w:eastAsia="Calibri" w:hAnsi="Arial" w:cs="Arial"/>
          <w:b/>
          <w:caps/>
          <w:color w:val="0092BB"/>
          <w:sz w:val="36"/>
          <w:szCs w:val="28"/>
        </w:rPr>
        <w:t xml:space="preserve"> </w:t>
      </w:r>
      <w:r w:rsidR="006A7B61" w:rsidRPr="006A7B61">
        <w:rPr>
          <w:rFonts w:ascii="Arial" w:eastAsia="Calibri" w:hAnsi="Arial" w:cs="Arial"/>
          <w:b/>
          <w:caps/>
          <w:color w:val="0092BB"/>
          <w:sz w:val="36"/>
          <w:szCs w:val="28"/>
        </w:rPr>
        <w:t>202</w:t>
      </w:r>
      <w:r w:rsidR="00D77B83">
        <w:rPr>
          <w:rFonts w:ascii="Arial" w:eastAsia="Calibri" w:hAnsi="Arial" w:cs="Arial"/>
          <w:b/>
          <w:caps/>
          <w:color w:val="0092BB"/>
          <w:sz w:val="36"/>
          <w:szCs w:val="28"/>
        </w:rPr>
        <w:t>1</w:t>
      </w:r>
    </w:p>
    <w:p w14:paraId="32792FA2" w14:textId="66E6B140" w:rsidR="00723DE9" w:rsidRDefault="004536B1" w:rsidP="00600B25">
      <w:pPr>
        <w:spacing w:before="120" w:after="120"/>
        <w:rPr>
          <w:rFonts w:eastAsia="Calibri" w:cs="Arial"/>
          <w:color w:val="616264"/>
          <w:sz w:val="20"/>
          <w:szCs w:val="20"/>
        </w:rPr>
      </w:pPr>
      <w:r>
        <w:rPr>
          <w:rFonts w:ascii="Arial" w:eastAsia="Calibri" w:hAnsi="Arial" w:cs="Arial"/>
          <w:b/>
          <w:noProof/>
          <w:color w:val="0092BB"/>
          <w:sz w:val="20"/>
          <w:szCs w:val="20"/>
        </w:rPr>
        <w:t>Moderator</w:t>
      </w:r>
      <w:r w:rsidR="00821E24" w:rsidRPr="006B0E32">
        <w:rPr>
          <w:rFonts w:ascii="Arial" w:eastAsia="Calibri" w:hAnsi="Arial" w:cs="Arial"/>
          <w:b/>
          <w:noProof/>
          <w:color w:val="0092BB"/>
          <w:sz w:val="20"/>
          <w:szCs w:val="20"/>
        </w:rPr>
        <w:t>:</w:t>
      </w:r>
      <w:r w:rsidR="008916F1" w:rsidRPr="006B0E32">
        <w:rPr>
          <w:rFonts w:ascii="Arial" w:eastAsia="Calibri" w:hAnsi="Arial" w:cs="Arial"/>
          <w:b/>
          <w:noProof/>
          <w:color w:val="0092BB"/>
          <w:sz w:val="20"/>
          <w:szCs w:val="20"/>
        </w:rPr>
        <w:t xml:space="preserve"> </w:t>
      </w:r>
      <w:r w:rsidR="00723DE9" w:rsidRPr="00600B25">
        <w:rPr>
          <w:rFonts w:ascii="Arial" w:eastAsia="Calibri" w:hAnsi="Arial" w:cs="Arial"/>
          <w:color w:val="616264"/>
          <w:sz w:val="20"/>
          <w:szCs w:val="20"/>
        </w:rPr>
        <w:t xml:space="preserve">Cristina Mereuta, </w:t>
      </w:r>
      <w:r w:rsidR="00600B25" w:rsidRPr="00600B25">
        <w:rPr>
          <w:rFonts w:ascii="Arial" w:eastAsia="Calibri" w:hAnsi="Arial" w:cs="Arial"/>
          <w:color w:val="616264"/>
          <w:sz w:val="20"/>
          <w:szCs w:val="20"/>
        </w:rPr>
        <w:t>Senior Human Capital Development Expert - Coordinator for Active Labour Market Policies</w:t>
      </w:r>
      <w:r w:rsidR="00600B25">
        <w:rPr>
          <w:rFonts w:ascii="Arial" w:eastAsia="Calibri" w:hAnsi="Arial" w:cs="Arial"/>
          <w:color w:val="616264"/>
          <w:sz w:val="20"/>
          <w:szCs w:val="20"/>
        </w:rPr>
        <w:t>, ETF</w:t>
      </w:r>
    </w:p>
    <w:p w14:paraId="57DB4DC5" w14:textId="77777777" w:rsidR="006B0E32" w:rsidRPr="00600B25" w:rsidRDefault="006B0E32" w:rsidP="00600B25">
      <w:pPr>
        <w:spacing w:before="120" w:after="120" w:line="240" w:lineRule="auto"/>
        <w:rPr>
          <w:rFonts w:ascii="Arial" w:eastAsia="Calibri" w:hAnsi="Arial" w:cs="Arial"/>
          <w:color w:val="616264"/>
          <w:sz w:val="20"/>
          <w:szCs w:val="20"/>
        </w:rPr>
      </w:pPr>
    </w:p>
    <w:tbl>
      <w:tblPr>
        <w:tblStyle w:val="ETFAgenda"/>
        <w:tblW w:w="9498" w:type="dxa"/>
        <w:tblCellMar>
          <w:top w:w="113" w:type="dxa"/>
          <w:bottom w:w="113" w:type="dxa"/>
        </w:tblCellMar>
        <w:tblLook w:val="0660" w:firstRow="1" w:lastRow="1" w:firstColumn="0" w:lastColumn="0" w:noHBand="1" w:noVBand="1"/>
      </w:tblPr>
      <w:tblGrid>
        <w:gridCol w:w="1276"/>
        <w:gridCol w:w="8222"/>
      </w:tblGrid>
      <w:tr w:rsidR="006A7B61" w:rsidRPr="006A7B61" w14:paraId="141CA431" w14:textId="77777777" w:rsidTr="009A4A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276" w:type="dxa"/>
            <w:shd w:val="clear" w:color="auto" w:fill="auto"/>
          </w:tcPr>
          <w:p w14:paraId="7E974CAB" w14:textId="673873E9" w:rsidR="006A7B61" w:rsidRPr="006A7B61" w:rsidRDefault="001F06E8" w:rsidP="00D77B83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bookmarkStart w:id="2" w:name="_Hlk56111969"/>
            <w:r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D22C69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D22C69">
              <w:rPr>
                <w:rFonts w:eastAsia="Calibri" w:cs="Arial"/>
                <w:b/>
                <w:noProof/>
                <w:color w:val="0092BB"/>
                <w:szCs w:val="20"/>
              </w:rPr>
              <w:t>3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0-1</w:t>
            </w:r>
            <w:r w:rsidR="00D22C69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D22C69">
              <w:rPr>
                <w:rFonts w:eastAsia="Calibri" w:cs="Arial"/>
                <w:b/>
                <w:noProof/>
                <w:color w:val="0092BB"/>
                <w:szCs w:val="20"/>
              </w:rPr>
              <w:t>4</w:t>
            </w:r>
            <w:r w:rsidR="006F27BE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 w:rsidR="00BB1B03">
              <w:rPr>
                <w:rFonts w:eastAsia="Calibri" w:cs="Arial"/>
                <w:b/>
                <w:noProof/>
                <w:color w:val="0092BB"/>
                <w:szCs w:val="20"/>
              </w:rPr>
              <w:t xml:space="preserve"> </w:t>
            </w:r>
          </w:p>
        </w:tc>
        <w:tc>
          <w:tcPr>
            <w:tcW w:w="8222" w:type="dxa"/>
            <w:shd w:val="clear" w:color="auto" w:fill="auto"/>
          </w:tcPr>
          <w:p w14:paraId="46D6CDA4" w14:textId="77777777" w:rsidR="009943DE" w:rsidRDefault="001662DA" w:rsidP="00B75828">
            <w:pPr>
              <w:spacing w:before="120" w:after="120"/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</w:pPr>
            <w:r w:rsidRPr="00A52A36"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  <w:t>Opening session</w:t>
            </w:r>
            <w:r w:rsidR="009943DE">
              <w:rPr>
                <w:rFonts w:eastAsia="Calibri" w:cs="Arial"/>
                <w:b/>
                <w:bCs/>
                <w:color w:val="616264"/>
                <w:sz w:val="20"/>
                <w:szCs w:val="20"/>
              </w:rPr>
              <w:t xml:space="preserve"> </w:t>
            </w:r>
          </w:p>
          <w:p w14:paraId="4BC31CB2" w14:textId="5C4B10F7" w:rsidR="008916F1" w:rsidRPr="009943DE" w:rsidRDefault="00D77B83" w:rsidP="00B75828">
            <w:pPr>
              <w:spacing w:before="120" w:after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9943DE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Introductory remarks</w:t>
            </w:r>
          </w:p>
          <w:p w14:paraId="7BB379C3" w14:textId="4D7E5543" w:rsidR="006F27BE" w:rsidRDefault="006F27BE" w:rsidP="009943DE">
            <w:pPr>
              <w:spacing w:before="120"/>
              <w:rPr>
                <w:rFonts w:eastAsia="Calibri" w:cs="Arial"/>
                <w:color w:val="616264"/>
                <w:sz w:val="20"/>
                <w:szCs w:val="20"/>
              </w:rPr>
            </w:pP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t xml:space="preserve">Statistical Office of Montenegro </w:t>
            </w:r>
            <w:r>
              <w:rPr>
                <w:rFonts w:eastAsia="Calibri" w:cs="Arial"/>
                <w:color w:val="616264"/>
                <w:sz w:val="20"/>
                <w:szCs w:val="20"/>
              </w:rPr>
              <w:t>(</w:t>
            </w: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t>MONSTAT</w:t>
            </w:r>
            <w:r>
              <w:rPr>
                <w:rFonts w:eastAsia="Calibri" w:cs="Arial"/>
                <w:color w:val="616264"/>
                <w:sz w:val="20"/>
                <w:szCs w:val="20"/>
              </w:rPr>
              <w:t>)</w:t>
            </w:r>
            <w:r w:rsidR="00EF4DB2">
              <w:rPr>
                <w:rFonts w:eastAsia="Calibri" w:cs="Arial"/>
                <w:color w:val="616264"/>
                <w:sz w:val="20"/>
                <w:szCs w:val="20"/>
              </w:rPr>
              <w:t xml:space="preserve"> tbc</w:t>
            </w:r>
          </w:p>
          <w:p w14:paraId="4F9C85EA" w14:textId="4CF36B02" w:rsidR="006F27BE" w:rsidRPr="006F27BE" w:rsidRDefault="006F27BE" w:rsidP="009943DE">
            <w:pPr>
              <w:spacing w:before="120"/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color w:val="616264"/>
                <w:sz w:val="20"/>
                <w:szCs w:val="20"/>
              </w:rPr>
              <w:t>European Training Foundation (ETF)</w:t>
            </w: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fldChar w:fldCharType="begin"/>
            </w: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instrText xml:space="preserve"> HYPERLINK "https://www.monstat.org/eng/" </w:instrText>
            </w: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fldChar w:fldCharType="separate"/>
            </w:r>
          </w:p>
          <w:p w14:paraId="51325CBD" w14:textId="6567702C" w:rsidR="006F27BE" w:rsidRPr="004536B1" w:rsidRDefault="006F27BE" w:rsidP="009943DE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 w:rsidRPr="006F27BE">
              <w:rPr>
                <w:rFonts w:eastAsia="Calibri" w:cs="Arial"/>
                <w:color w:val="616264"/>
                <w:sz w:val="20"/>
                <w:szCs w:val="20"/>
              </w:rPr>
              <w:fldChar w:fldCharType="end"/>
            </w:r>
            <w:r>
              <w:rPr>
                <w:rFonts w:eastAsia="Calibri" w:cs="Arial"/>
                <w:color w:val="616264"/>
                <w:sz w:val="20"/>
                <w:szCs w:val="20"/>
              </w:rPr>
              <w:t xml:space="preserve">Facilitator: Ulrike Damyanovic, Senior </w:t>
            </w:r>
            <w:r w:rsidRPr="00600B25">
              <w:rPr>
                <w:rFonts w:eastAsia="Calibri" w:cs="Arial"/>
                <w:color w:val="616264"/>
                <w:sz w:val="20"/>
                <w:szCs w:val="20"/>
              </w:rPr>
              <w:t xml:space="preserve">Human Capital Development Expert - </w:t>
            </w:r>
            <w:r w:rsidRPr="00CD078D">
              <w:rPr>
                <w:rFonts w:eastAsia="Calibri" w:cs="Arial"/>
                <w:color w:val="616264"/>
                <w:sz w:val="20"/>
                <w:szCs w:val="20"/>
              </w:rPr>
              <w:t>Focal point for South Eastern Europe and Turkey - Country Liaison for Montenegro</w:t>
            </w:r>
            <w:r>
              <w:rPr>
                <w:rFonts w:eastAsia="Calibri" w:cs="Arial"/>
                <w:color w:val="616264"/>
                <w:sz w:val="20"/>
                <w:szCs w:val="20"/>
              </w:rPr>
              <w:t>, ETF</w:t>
            </w:r>
          </w:p>
        </w:tc>
      </w:tr>
      <w:tr w:rsidR="00A20210" w:rsidRPr="00812B9A" w14:paraId="7373CB49" w14:textId="77777777" w:rsidTr="009A4AA5">
        <w:trPr>
          <w:trHeight w:val="227"/>
        </w:trPr>
        <w:tc>
          <w:tcPr>
            <w:tcW w:w="1276" w:type="dxa"/>
            <w:shd w:val="clear" w:color="auto" w:fill="auto"/>
          </w:tcPr>
          <w:p w14:paraId="05AE364F" w14:textId="1D5CA593" w:rsidR="00D77B83" w:rsidRDefault="001F06E8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bookmarkStart w:id="3" w:name="_Hlk56618558"/>
            <w:bookmarkStart w:id="4" w:name="_Hlk56520376"/>
            <w:bookmarkEnd w:id="0"/>
            <w:bookmarkEnd w:id="2"/>
            <w:r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4</w:t>
            </w:r>
            <w:r w:rsidR="006F27BE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-1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2</w:t>
            </w:r>
            <w:r w:rsidR="00821E24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07661D04" w14:textId="1758389D" w:rsidR="00413022" w:rsidRPr="00F56F49" w:rsidRDefault="00160074" w:rsidP="00F56F49">
            <w:pPr>
              <w:spacing w:after="200"/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</w:pPr>
            <w:r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Skills mismatch measurement – approaches and </w:t>
            </w:r>
            <w:r w:rsidR="00040781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>preliminary results</w:t>
            </w:r>
          </w:p>
        </w:tc>
      </w:tr>
      <w:tr w:rsidR="00F56F49" w:rsidRPr="003B1DD8" w14:paraId="2B59D3A0" w14:textId="77777777" w:rsidTr="009A4AA5">
        <w:trPr>
          <w:trHeight w:val="227"/>
        </w:trPr>
        <w:tc>
          <w:tcPr>
            <w:tcW w:w="1276" w:type="dxa"/>
            <w:shd w:val="clear" w:color="auto" w:fill="auto"/>
          </w:tcPr>
          <w:p w14:paraId="25E24FE2" w14:textId="77777777" w:rsidR="00F56F49" w:rsidRDefault="00F56F49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106D5C73" w14:textId="44CFA752" w:rsidR="00EB6852" w:rsidRPr="00A52A36" w:rsidRDefault="00EB6852" w:rsidP="00A52A36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 w:rsidRPr="00A52A36">
              <w:rPr>
                <w:rFonts w:eastAsia="Calibri" w:cs="Arial"/>
                <w:color w:val="616264"/>
                <w:sz w:val="20"/>
                <w:szCs w:val="20"/>
              </w:rPr>
              <w:t>Contributors:</w:t>
            </w:r>
          </w:p>
          <w:p w14:paraId="6D52BF1E" w14:textId="194C67BE" w:rsidR="00EB6852" w:rsidRPr="00A52A36" w:rsidRDefault="00EB6852" w:rsidP="00A52A36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 w:rsidRPr="00A52A36">
              <w:rPr>
                <w:rFonts w:eastAsia="Calibri" w:cs="Arial"/>
                <w:color w:val="616264"/>
                <w:sz w:val="20"/>
                <w:szCs w:val="20"/>
              </w:rPr>
              <w:t>Mircea Badescu</w:t>
            </w:r>
            <w:r w:rsidR="00D7325B" w:rsidRPr="00A52A36">
              <w:rPr>
                <w:rFonts w:eastAsia="Calibri" w:cs="Arial"/>
                <w:color w:val="616264"/>
                <w:sz w:val="20"/>
                <w:szCs w:val="20"/>
              </w:rPr>
              <w:t>, Human Capital Development Statistician</w:t>
            </w:r>
            <w:r w:rsidR="003B1DD8" w:rsidRPr="00A52A36">
              <w:rPr>
                <w:rFonts w:eastAsia="Calibri" w:cs="Arial"/>
                <w:color w:val="616264"/>
                <w:sz w:val="20"/>
                <w:szCs w:val="20"/>
              </w:rPr>
              <w:t>, ETF</w:t>
            </w:r>
          </w:p>
          <w:p w14:paraId="787FD4D2" w14:textId="19D704D8" w:rsidR="00D7325B" w:rsidRPr="00A52A36" w:rsidRDefault="00E70650" w:rsidP="00A52A36">
            <w:pPr>
              <w:spacing w:before="120" w:after="120"/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color w:val="616264"/>
                <w:sz w:val="20"/>
                <w:szCs w:val="20"/>
              </w:rPr>
              <w:t xml:space="preserve">Dr </w:t>
            </w:r>
            <w:r w:rsidR="00D7325B" w:rsidRPr="00A52A36">
              <w:rPr>
                <w:rFonts w:eastAsia="Calibri" w:cs="Arial"/>
                <w:color w:val="616264"/>
                <w:sz w:val="20"/>
                <w:szCs w:val="20"/>
              </w:rPr>
              <w:t xml:space="preserve">Ben Kriechel, </w:t>
            </w:r>
            <w:r>
              <w:rPr>
                <w:rFonts w:eastAsia="Calibri" w:cs="Arial"/>
                <w:color w:val="616264"/>
                <w:sz w:val="20"/>
                <w:szCs w:val="20"/>
              </w:rPr>
              <w:t xml:space="preserve">Senior Researcher, </w:t>
            </w:r>
            <w:proofErr w:type="spellStart"/>
            <w:r w:rsidR="00D7325B" w:rsidRPr="00A52A36">
              <w:rPr>
                <w:rFonts w:eastAsia="Calibri" w:cs="Arial"/>
                <w:color w:val="616264"/>
                <w:sz w:val="20"/>
                <w:szCs w:val="20"/>
              </w:rPr>
              <w:t>Economix</w:t>
            </w:r>
            <w:proofErr w:type="spellEnd"/>
            <w:r w:rsidR="00D7325B" w:rsidRPr="00A52A36">
              <w:rPr>
                <w:rFonts w:eastAsia="Calibri" w:cs="Arial"/>
                <w:color w:val="616264"/>
                <w:sz w:val="20"/>
                <w:szCs w:val="20"/>
              </w:rPr>
              <w:t xml:space="preserve"> </w:t>
            </w:r>
            <w:r w:rsidR="003B1DD8" w:rsidRPr="00A52A36">
              <w:rPr>
                <w:rFonts w:eastAsia="Calibri" w:cs="Arial"/>
                <w:color w:val="616264"/>
                <w:sz w:val="20"/>
                <w:szCs w:val="20"/>
              </w:rPr>
              <w:t>Research &amp; Consulting, Germany</w:t>
            </w:r>
          </w:p>
          <w:p w14:paraId="761F5702" w14:textId="4C473AED" w:rsidR="00201A59" w:rsidRPr="003B1DD8" w:rsidRDefault="00230815" w:rsidP="006F27BE">
            <w:pPr>
              <w:spacing w:before="120" w:after="120"/>
              <w:rPr>
                <w:rFonts w:eastAsia="Calibri" w:cs="Arial"/>
                <w:b/>
                <w:bCs/>
                <w:color w:val="616264"/>
                <w:sz w:val="20"/>
                <w:szCs w:val="20"/>
                <w:lang w:val="en-US"/>
              </w:rPr>
            </w:pPr>
            <w:r w:rsidRPr="00A52A36">
              <w:rPr>
                <w:rFonts w:eastAsia="Calibri" w:cs="Arial"/>
                <w:color w:val="616264"/>
                <w:sz w:val="20"/>
                <w:szCs w:val="20"/>
              </w:rPr>
              <w:t>Q&amp;A</w:t>
            </w:r>
          </w:p>
        </w:tc>
      </w:tr>
      <w:tr w:rsidR="00413022" w:rsidRPr="006A7B61" w14:paraId="688AC7C8" w14:textId="77777777" w:rsidTr="009A4AA5">
        <w:trPr>
          <w:trHeight w:val="227"/>
        </w:trPr>
        <w:tc>
          <w:tcPr>
            <w:tcW w:w="1276" w:type="dxa"/>
            <w:shd w:val="clear" w:color="auto" w:fill="auto"/>
          </w:tcPr>
          <w:p w14:paraId="787EF6BA" w14:textId="726369BE" w:rsidR="00413022" w:rsidRPr="002272B2" w:rsidRDefault="001F06E8" w:rsidP="002272B2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bookmarkStart w:id="5" w:name="_Hlk56617529"/>
            <w:bookmarkEnd w:id="3"/>
            <w:r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2</w:t>
            </w:r>
            <w:r w:rsidR="00045EAF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-1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694B8E"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  <w:r w:rsidR="00E424AB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</w:p>
        </w:tc>
        <w:tc>
          <w:tcPr>
            <w:tcW w:w="8222" w:type="dxa"/>
            <w:shd w:val="clear" w:color="auto" w:fill="auto"/>
          </w:tcPr>
          <w:p w14:paraId="39CC2A97" w14:textId="21C85E7E" w:rsidR="00413022" w:rsidRPr="008B0C18" w:rsidRDefault="00694B8E" w:rsidP="008B0C18">
            <w:pPr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Key policy implications and </w:t>
            </w:r>
            <w:r w:rsidR="00E424AB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>future opportunities</w:t>
            </w:r>
            <w:r w:rsidR="00ED4BDA">
              <w:rPr>
                <w:rFonts w:eastAsia="Calibri" w:cs="Arial"/>
                <w:b/>
                <w:bCs/>
                <w:color w:val="0092BB"/>
                <w:sz w:val="24"/>
                <w:szCs w:val="24"/>
              </w:rPr>
              <w:t xml:space="preserve"> </w:t>
            </w:r>
          </w:p>
        </w:tc>
      </w:tr>
      <w:tr w:rsidR="001618F4" w:rsidRPr="006A7B61" w14:paraId="243B74FE" w14:textId="77777777" w:rsidTr="009A4AA5">
        <w:trPr>
          <w:trHeight w:val="227"/>
        </w:trPr>
        <w:tc>
          <w:tcPr>
            <w:tcW w:w="1276" w:type="dxa"/>
            <w:shd w:val="clear" w:color="auto" w:fill="auto"/>
          </w:tcPr>
          <w:p w14:paraId="752D0524" w14:textId="77777777" w:rsidR="001618F4" w:rsidRDefault="001618F4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</w:p>
        </w:tc>
        <w:tc>
          <w:tcPr>
            <w:tcW w:w="8222" w:type="dxa"/>
            <w:shd w:val="clear" w:color="auto" w:fill="auto"/>
          </w:tcPr>
          <w:p w14:paraId="6D04F849" w14:textId="2EBC7A3C" w:rsidR="00291618" w:rsidRDefault="00545A64" w:rsidP="00917D9D">
            <w:pPr>
              <w:spacing w:before="120"/>
              <w:rPr>
                <w:rFonts w:eastAsia="Calibri" w:cs="Arial"/>
                <w:i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M</w:t>
            </w:r>
            <w:r w:rsidR="00EF1C18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ain takeaways for policy making</w:t>
            </w:r>
            <w: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and</w:t>
            </w:r>
            <w:r w:rsidR="00EF1C18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 </w:t>
            </w:r>
            <w:r w:rsidR="00713C6B"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>capa</w:t>
            </w:r>
            <w:r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  <w:t xml:space="preserve">city building  </w:t>
            </w:r>
          </w:p>
          <w:p w14:paraId="54B6D706" w14:textId="285414CF" w:rsidR="000B2A03" w:rsidRDefault="00545A64" w:rsidP="00545A64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color w:val="616264"/>
                <w:sz w:val="20"/>
                <w:szCs w:val="20"/>
              </w:rPr>
              <w:t>Open discussion</w:t>
            </w:r>
          </w:p>
          <w:p w14:paraId="65123237" w14:textId="1E40C706" w:rsidR="00545A64" w:rsidRDefault="001608DF" w:rsidP="00604681">
            <w:pPr>
              <w:spacing w:before="120"/>
              <w:rPr>
                <w:rFonts w:eastAsia="Calibri" w:cs="Arial"/>
                <w:color w:val="616264"/>
                <w:sz w:val="20"/>
                <w:szCs w:val="20"/>
              </w:rPr>
            </w:pPr>
            <w:r>
              <w:rPr>
                <w:rFonts w:eastAsia="Calibri" w:cs="Arial"/>
                <w:color w:val="616264"/>
                <w:sz w:val="20"/>
                <w:szCs w:val="20"/>
              </w:rPr>
              <w:t xml:space="preserve">Opportunities to further expand the body of knowledge on skills demand and supply – the case of European </w:t>
            </w:r>
            <w:r w:rsidR="00604681">
              <w:rPr>
                <w:rFonts w:eastAsia="Calibri" w:cs="Arial"/>
                <w:color w:val="616264"/>
                <w:sz w:val="20"/>
                <w:szCs w:val="20"/>
              </w:rPr>
              <w:t>Skills and Jobs Survey</w:t>
            </w:r>
          </w:p>
          <w:p w14:paraId="5B2B3920" w14:textId="7231723F" w:rsidR="001313B1" w:rsidRPr="006F27BE" w:rsidRDefault="00604681" w:rsidP="001313B1">
            <w:pPr>
              <w:pStyle w:val="ListParagraph"/>
              <w:numPr>
                <w:ilvl w:val="0"/>
                <w:numId w:val="25"/>
              </w:numPr>
              <w:spacing w:before="120"/>
              <w:rPr>
                <w:rFonts w:cs="Arial"/>
                <w:color w:val="616264"/>
                <w:sz w:val="20"/>
                <w:szCs w:val="20"/>
              </w:rPr>
            </w:pPr>
            <w:r>
              <w:rPr>
                <w:rFonts w:cs="Arial"/>
                <w:color w:val="616264"/>
                <w:sz w:val="20"/>
                <w:szCs w:val="20"/>
              </w:rPr>
              <w:t xml:space="preserve">Eva </w:t>
            </w:r>
            <w:r w:rsidRPr="00600B25">
              <w:rPr>
                <w:rFonts w:eastAsia="Calibri" w:cs="Arial"/>
                <w:color w:val="616264"/>
                <w:sz w:val="20"/>
                <w:szCs w:val="20"/>
                <w:lang w:val="en-US"/>
              </w:rPr>
              <w:t>Jansova</w:t>
            </w:r>
            <w:r w:rsidR="006244CA" w:rsidRPr="00600B25">
              <w:rPr>
                <w:rFonts w:eastAsia="Calibri" w:cs="Arial"/>
                <w:color w:val="616264"/>
                <w:sz w:val="20"/>
                <w:szCs w:val="20"/>
                <w:lang w:val="en-US"/>
              </w:rPr>
              <w:t>, Human Capital Development Expert - Skills Demand Analysis, ETF</w:t>
            </w:r>
          </w:p>
        </w:tc>
      </w:tr>
      <w:tr w:rsidR="00E424AB" w:rsidRPr="006A7B61" w14:paraId="0FC8AC76" w14:textId="77777777" w:rsidTr="009A4A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276" w:type="dxa"/>
            <w:shd w:val="clear" w:color="auto" w:fill="auto"/>
          </w:tcPr>
          <w:p w14:paraId="44A19780" w14:textId="27AF6414" w:rsidR="00E424AB" w:rsidRDefault="00E424AB" w:rsidP="004D3405">
            <w:pPr>
              <w:spacing w:after="200"/>
              <w:rPr>
                <w:rFonts w:eastAsia="Calibri" w:cs="Arial"/>
                <w:b/>
                <w:noProof/>
                <w:color w:val="0092BB"/>
                <w:szCs w:val="20"/>
              </w:rPr>
            </w:pPr>
            <w:r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1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5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5 – 1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2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.</w:t>
            </w:r>
            <w:r w:rsidR="00CD078D"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  <w:r>
              <w:rPr>
                <w:rFonts w:eastAsia="Calibri" w:cs="Arial"/>
                <w:b/>
                <w:noProof/>
                <w:color w:val="0092BB"/>
                <w:szCs w:val="20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14:paraId="063DE6B7" w14:textId="386BBB22" w:rsidR="00E424AB" w:rsidRDefault="00E424AB" w:rsidP="00917D9D">
            <w:pPr>
              <w:spacing w:before="120"/>
              <w:rPr>
                <w:rFonts w:eastAsia="Calibri" w:cs="Arial"/>
                <w:i/>
                <w:iCs/>
                <w:color w:val="616264"/>
                <w:sz w:val="20"/>
                <w:szCs w:val="20"/>
              </w:rPr>
            </w:pPr>
            <w:r w:rsidRPr="001313B1">
              <w:rPr>
                <w:rFonts w:cs="Arial"/>
                <w:color w:val="616264"/>
                <w:sz w:val="20"/>
                <w:szCs w:val="20"/>
              </w:rPr>
              <w:t>Wrap-up, next steps</w:t>
            </w:r>
          </w:p>
        </w:tc>
      </w:tr>
      <w:bookmarkEnd w:id="1"/>
      <w:bookmarkEnd w:id="4"/>
      <w:bookmarkEnd w:id="5"/>
    </w:tbl>
    <w:p w14:paraId="63106D10" w14:textId="246F0C8C" w:rsidR="00512A3A" w:rsidRPr="006A7B61" w:rsidRDefault="00512A3A" w:rsidP="00423D3E">
      <w:pPr>
        <w:rPr>
          <w:rFonts w:ascii="Arial" w:eastAsia="Calibri" w:hAnsi="Arial" w:cs="Arial"/>
          <w:color w:val="616264"/>
          <w:sz w:val="20"/>
          <w:szCs w:val="20"/>
        </w:rPr>
      </w:pPr>
    </w:p>
    <w:sectPr w:rsidR="00512A3A" w:rsidRPr="006A7B61" w:rsidSect="00120C45">
      <w:footerReference w:type="default" r:id="rId12"/>
      <w:pgSz w:w="11906" w:h="16838"/>
      <w:pgMar w:top="1440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9D344" w14:textId="77777777" w:rsidR="0027407D" w:rsidRDefault="0027407D" w:rsidP="00992FC0">
      <w:pPr>
        <w:spacing w:after="0" w:line="240" w:lineRule="auto"/>
      </w:pPr>
      <w:r>
        <w:separator/>
      </w:r>
    </w:p>
  </w:endnote>
  <w:endnote w:type="continuationSeparator" w:id="0">
    <w:p w14:paraId="23AC1659" w14:textId="77777777" w:rsidR="0027407D" w:rsidRDefault="0027407D" w:rsidP="00992FC0">
      <w:pPr>
        <w:spacing w:after="0" w:line="240" w:lineRule="auto"/>
      </w:pPr>
      <w:r>
        <w:continuationSeparator/>
      </w:r>
    </w:p>
  </w:endnote>
  <w:endnote w:type="continuationNotice" w:id="1">
    <w:p w14:paraId="4A83142A" w14:textId="77777777" w:rsidR="0027407D" w:rsidRDefault="0027407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981705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2604289D" w14:textId="1DE70847" w:rsidR="0069063D" w:rsidRPr="00992FC0" w:rsidRDefault="0069063D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992FC0">
          <w:rPr>
            <w:rFonts w:ascii="Arial" w:hAnsi="Arial" w:cs="Arial"/>
            <w:sz w:val="20"/>
            <w:szCs w:val="20"/>
          </w:rPr>
          <w:fldChar w:fldCharType="begin"/>
        </w:r>
        <w:r w:rsidRPr="00992FC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992FC0">
          <w:rPr>
            <w:rFonts w:ascii="Arial" w:hAnsi="Arial" w:cs="Arial"/>
            <w:sz w:val="20"/>
            <w:szCs w:val="20"/>
          </w:rPr>
          <w:fldChar w:fldCharType="separate"/>
        </w:r>
        <w:r w:rsidRPr="00992FC0">
          <w:rPr>
            <w:rFonts w:ascii="Arial" w:hAnsi="Arial" w:cs="Arial"/>
            <w:noProof/>
            <w:sz w:val="20"/>
            <w:szCs w:val="20"/>
          </w:rPr>
          <w:t>2</w:t>
        </w:r>
        <w:r w:rsidRPr="00992FC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0C904" w14:textId="77777777" w:rsidR="0027407D" w:rsidRDefault="0027407D" w:rsidP="00992FC0">
      <w:pPr>
        <w:spacing w:after="0" w:line="240" w:lineRule="auto"/>
      </w:pPr>
      <w:r>
        <w:separator/>
      </w:r>
    </w:p>
  </w:footnote>
  <w:footnote w:type="continuationSeparator" w:id="0">
    <w:p w14:paraId="0177A4CC" w14:textId="77777777" w:rsidR="0027407D" w:rsidRDefault="0027407D" w:rsidP="00992FC0">
      <w:pPr>
        <w:spacing w:after="0" w:line="240" w:lineRule="auto"/>
      </w:pPr>
      <w:r>
        <w:continuationSeparator/>
      </w:r>
    </w:p>
  </w:footnote>
  <w:footnote w:type="continuationNotice" w:id="1">
    <w:p w14:paraId="3BFACE3A" w14:textId="77777777" w:rsidR="0027407D" w:rsidRDefault="0027407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212"/>
    <w:multiLevelType w:val="hybridMultilevel"/>
    <w:tmpl w:val="56686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457AD"/>
    <w:multiLevelType w:val="hybridMultilevel"/>
    <w:tmpl w:val="87AAF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5C5"/>
    <w:multiLevelType w:val="hybridMultilevel"/>
    <w:tmpl w:val="FF38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F3864" w:themeColor="accent1" w:themeShade="80"/>
        <w:sz w:val="22"/>
        <w:szCs w:val="22"/>
        <w:u w:color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F315A"/>
    <w:multiLevelType w:val="multilevel"/>
    <w:tmpl w:val="CD107930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  <w:color w:val="44546A" w:themeColor="text2"/>
      </w:rPr>
    </w:lvl>
    <w:lvl w:ilvl="1">
      <w:start w:val="1"/>
      <w:numFmt w:val="decimal"/>
      <w:pStyle w:val="ListNumber2"/>
      <w:lvlText w:val="%2."/>
      <w:lvlJc w:val="left"/>
      <w:pPr>
        <w:ind w:left="794" w:hanging="397"/>
      </w:pPr>
      <w:rPr>
        <w:rFonts w:hint="default"/>
        <w:color w:val="44546A" w:themeColor="text2"/>
      </w:rPr>
    </w:lvl>
    <w:lvl w:ilvl="2">
      <w:start w:val="1"/>
      <w:numFmt w:val="none"/>
      <w:lvlText w:val=""/>
      <w:lvlJc w:val="righ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162532DB"/>
    <w:multiLevelType w:val="hybridMultilevel"/>
    <w:tmpl w:val="8C52A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A5E55"/>
    <w:multiLevelType w:val="hybridMultilevel"/>
    <w:tmpl w:val="4AF27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55342"/>
    <w:multiLevelType w:val="hybridMultilevel"/>
    <w:tmpl w:val="9A7E77B0"/>
    <w:lvl w:ilvl="0" w:tplc="C43CC790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35E44"/>
    <w:multiLevelType w:val="hybridMultilevel"/>
    <w:tmpl w:val="5F34E994"/>
    <w:lvl w:ilvl="0" w:tplc="D9EA9DA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7D768F"/>
    <w:multiLevelType w:val="hybridMultilevel"/>
    <w:tmpl w:val="1C22AE5E"/>
    <w:lvl w:ilvl="0" w:tplc="6E6C941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FC"/>
    <w:multiLevelType w:val="hybridMultilevel"/>
    <w:tmpl w:val="C5C464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E0535"/>
    <w:multiLevelType w:val="multilevel"/>
    <w:tmpl w:val="33CEB208"/>
    <w:lvl w:ilvl="0">
      <w:start w:val="1"/>
      <w:numFmt w:val="bullet"/>
      <w:pStyle w:val="ListBullet"/>
      <w:lvlText w:val="■"/>
      <w:lvlJc w:val="left"/>
      <w:pPr>
        <w:ind w:left="397" w:hanging="397"/>
      </w:pPr>
      <w:rPr>
        <w:rFonts w:ascii="font399" w:hAnsi="font399" w:hint="default"/>
        <w:b w:val="0"/>
        <w:i w:val="0"/>
        <w:iCs w:val="0"/>
        <w:smallCaps w:val="0"/>
        <w:strike w:val="0"/>
        <w:dstrike w:val="0"/>
        <w:noProof w:val="0"/>
        <w:vanish w:val="0"/>
        <w:color w:val="E7E6E6" w:themeColor="background2"/>
        <w:kern w:val="0"/>
        <w:position w:val="0"/>
        <w:u w:val="none"/>
        <w:vertAlign w:val="baseline"/>
        <w:em w:val="none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1418"/>
        </w:tabs>
        <w:ind w:left="794" w:hanging="397"/>
      </w:pPr>
      <w:rPr>
        <w:rFonts w:ascii="Symbol" w:hAnsi="Symbol" w:hint="default"/>
        <w:color w:val="44546A" w:themeColor="text2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1" w15:restartNumberingAfterBreak="0">
    <w:nsid w:val="4197761D"/>
    <w:multiLevelType w:val="hybridMultilevel"/>
    <w:tmpl w:val="27648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720412"/>
    <w:multiLevelType w:val="hybridMultilevel"/>
    <w:tmpl w:val="39DE675E"/>
    <w:lvl w:ilvl="0" w:tplc="E26CCE6C">
      <w:start w:val="1"/>
      <w:numFmt w:val="decimal"/>
      <w:lvlText w:val="%1."/>
      <w:lvlJc w:val="left"/>
      <w:pPr>
        <w:ind w:left="720" w:hanging="360"/>
      </w:pPr>
      <w:rPr>
        <w:rFonts w:hint="default"/>
        <w:color w:val="808080" w:themeColor="background1" w:themeShade="80"/>
        <w:sz w:val="20"/>
        <w:szCs w:val="20"/>
        <w:u w:color="1F3864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840ED"/>
    <w:multiLevelType w:val="hybridMultilevel"/>
    <w:tmpl w:val="7E74C22A"/>
    <w:lvl w:ilvl="0" w:tplc="88327E8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A165C3"/>
    <w:multiLevelType w:val="hybridMultilevel"/>
    <w:tmpl w:val="7834C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D51E5"/>
    <w:multiLevelType w:val="hybridMultilevel"/>
    <w:tmpl w:val="44421A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1165B"/>
    <w:multiLevelType w:val="hybridMultilevel"/>
    <w:tmpl w:val="86B42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57FC6"/>
    <w:multiLevelType w:val="hybridMultilevel"/>
    <w:tmpl w:val="63900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1E"/>
    <w:multiLevelType w:val="hybridMultilevel"/>
    <w:tmpl w:val="A522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8C112D"/>
    <w:multiLevelType w:val="hybridMultilevel"/>
    <w:tmpl w:val="215C4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17DE4"/>
    <w:multiLevelType w:val="hybridMultilevel"/>
    <w:tmpl w:val="D124C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36F11"/>
    <w:multiLevelType w:val="hybridMultilevel"/>
    <w:tmpl w:val="0C14B8FE"/>
    <w:lvl w:ilvl="0" w:tplc="91DE53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E6A36"/>
    <w:multiLevelType w:val="hybridMultilevel"/>
    <w:tmpl w:val="0492B8D2"/>
    <w:lvl w:ilvl="0" w:tplc="0A9ED3C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B635A"/>
    <w:multiLevelType w:val="hybridMultilevel"/>
    <w:tmpl w:val="8398F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20"/>
  </w:num>
  <w:num w:numId="5">
    <w:abstractNumId w:val="16"/>
  </w:num>
  <w:num w:numId="6">
    <w:abstractNumId w:val="10"/>
  </w:num>
  <w:num w:numId="7">
    <w:abstractNumId w:val="3"/>
  </w:num>
  <w:num w:numId="8">
    <w:abstractNumId w:val="7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11"/>
  </w:num>
  <w:num w:numId="14">
    <w:abstractNumId w:val="23"/>
  </w:num>
  <w:num w:numId="15">
    <w:abstractNumId w:val="18"/>
  </w:num>
  <w:num w:numId="16">
    <w:abstractNumId w:val="22"/>
  </w:num>
  <w:num w:numId="17">
    <w:abstractNumId w:val="23"/>
  </w:num>
  <w:num w:numId="18">
    <w:abstractNumId w:val="8"/>
  </w:num>
  <w:num w:numId="19">
    <w:abstractNumId w:val="13"/>
  </w:num>
  <w:num w:numId="20">
    <w:abstractNumId w:val="9"/>
  </w:num>
  <w:num w:numId="21">
    <w:abstractNumId w:val="0"/>
  </w:num>
  <w:num w:numId="22">
    <w:abstractNumId w:val="17"/>
  </w:num>
  <w:num w:numId="23">
    <w:abstractNumId w:val="1"/>
  </w:num>
  <w:num w:numId="24">
    <w:abstractNumId w:val="5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77"/>
    <w:rsid w:val="0000258A"/>
    <w:rsid w:val="00015BD1"/>
    <w:rsid w:val="00023DEB"/>
    <w:rsid w:val="00024D7F"/>
    <w:rsid w:val="00024F9D"/>
    <w:rsid w:val="00030C5D"/>
    <w:rsid w:val="00031CD6"/>
    <w:rsid w:val="0003738B"/>
    <w:rsid w:val="00040781"/>
    <w:rsid w:val="00042D28"/>
    <w:rsid w:val="00045690"/>
    <w:rsid w:val="00045DAD"/>
    <w:rsid w:val="00045EAF"/>
    <w:rsid w:val="00046C6B"/>
    <w:rsid w:val="00052B53"/>
    <w:rsid w:val="000535C7"/>
    <w:rsid w:val="0006070E"/>
    <w:rsid w:val="000625EE"/>
    <w:rsid w:val="000654E2"/>
    <w:rsid w:val="00066843"/>
    <w:rsid w:val="00071B2D"/>
    <w:rsid w:val="000828A1"/>
    <w:rsid w:val="00084B0F"/>
    <w:rsid w:val="0009055C"/>
    <w:rsid w:val="0009756F"/>
    <w:rsid w:val="000A1B42"/>
    <w:rsid w:val="000B2A03"/>
    <w:rsid w:val="000B5F16"/>
    <w:rsid w:val="000C28BD"/>
    <w:rsid w:val="000C2954"/>
    <w:rsid w:val="000C62D9"/>
    <w:rsid w:val="000D3118"/>
    <w:rsid w:val="000E3C70"/>
    <w:rsid w:val="000E7246"/>
    <w:rsid w:val="000F0B37"/>
    <w:rsid w:val="000F1145"/>
    <w:rsid w:val="000F72A6"/>
    <w:rsid w:val="00100F88"/>
    <w:rsid w:val="00104425"/>
    <w:rsid w:val="00104F9B"/>
    <w:rsid w:val="001070A5"/>
    <w:rsid w:val="00116DD5"/>
    <w:rsid w:val="00120C45"/>
    <w:rsid w:val="00125DE9"/>
    <w:rsid w:val="001313B1"/>
    <w:rsid w:val="00133AC3"/>
    <w:rsid w:val="00133B81"/>
    <w:rsid w:val="001521C1"/>
    <w:rsid w:val="00155924"/>
    <w:rsid w:val="00160074"/>
    <w:rsid w:val="001608DF"/>
    <w:rsid w:val="001618F4"/>
    <w:rsid w:val="001640F3"/>
    <w:rsid w:val="001662DA"/>
    <w:rsid w:val="0017292B"/>
    <w:rsid w:val="00174D87"/>
    <w:rsid w:val="00177625"/>
    <w:rsid w:val="00181C0E"/>
    <w:rsid w:val="001851F2"/>
    <w:rsid w:val="001867E7"/>
    <w:rsid w:val="0019368E"/>
    <w:rsid w:val="001972E8"/>
    <w:rsid w:val="001A4516"/>
    <w:rsid w:val="001C2DC3"/>
    <w:rsid w:val="001D2CED"/>
    <w:rsid w:val="001D7418"/>
    <w:rsid w:val="001E70FF"/>
    <w:rsid w:val="001F06E8"/>
    <w:rsid w:val="001F342F"/>
    <w:rsid w:val="001F62C3"/>
    <w:rsid w:val="00201A59"/>
    <w:rsid w:val="002055C1"/>
    <w:rsid w:val="00220587"/>
    <w:rsid w:val="00222BB1"/>
    <w:rsid w:val="002272B2"/>
    <w:rsid w:val="00230815"/>
    <w:rsid w:val="00230E62"/>
    <w:rsid w:val="00231A77"/>
    <w:rsid w:val="0025316A"/>
    <w:rsid w:val="0025355A"/>
    <w:rsid w:val="00260164"/>
    <w:rsid w:val="002669F0"/>
    <w:rsid w:val="00271E97"/>
    <w:rsid w:val="0027407D"/>
    <w:rsid w:val="00280217"/>
    <w:rsid w:val="00280E98"/>
    <w:rsid w:val="002810DF"/>
    <w:rsid w:val="0028122A"/>
    <w:rsid w:val="00284012"/>
    <w:rsid w:val="002848D2"/>
    <w:rsid w:val="00284F48"/>
    <w:rsid w:val="00287F67"/>
    <w:rsid w:val="00291618"/>
    <w:rsid w:val="00294C78"/>
    <w:rsid w:val="002A47C8"/>
    <w:rsid w:val="002B3FA6"/>
    <w:rsid w:val="002B4D3B"/>
    <w:rsid w:val="002B4D6F"/>
    <w:rsid w:val="002C51E4"/>
    <w:rsid w:val="002D2F83"/>
    <w:rsid w:val="002D49EA"/>
    <w:rsid w:val="002D644F"/>
    <w:rsid w:val="002D669B"/>
    <w:rsid w:val="002D7982"/>
    <w:rsid w:val="002E605A"/>
    <w:rsid w:val="002E74FB"/>
    <w:rsid w:val="002F0B10"/>
    <w:rsid w:val="002F0FC4"/>
    <w:rsid w:val="00302BC7"/>
    <w:rsid w:val="00305006"/>
    <w:rsid w:val="00310B6E"/>
    <w:rsid w:val="00313A93"/>
    <w:rsid w:val="00320F3D"/>
    <w:rsid w:val="00322BED"/>
    <w:rsid w:val="00325AA0"/>
    <w:rsid w:val="00326400"/>
    <w:rsid w:val="00330CBC"/>
    <w:rsid w:val="003316D8"/>
    <w:rsid w:val="00343C92"/>
    <w:rsid w:val="00362272"/>
    <w:rsid w:val="00362D31"/>
    <w:rsid w:val="00373862"/>
    <w:rsid w:val="00382636"/>
    <w:rsid w:val="003A6F60"/>
    <w:rsid w:val="003A7CC4"/>
    <w:rsid w:val="003B1DD8"/>
    <w:rsid w:val="003D1531"/>
    <w:rsid w:val="003E71F8"/>
    <w:rsid w:val="003F1B55"/>
    <w:rsid w:val="003F5EAB"/>
    <w:rsid w:val="003F6188"/>
    <w:rsid w:val="004047E0"/>
    <w:rsid w:val="004075CD"/>
    <w:rsid w:val="00413022"/>
    <w:rsid w:val="004179D1"/>
    <w:rsid w:val="00423D3E"/>
    <w:rsid w:val="004253D3"/>
    <w:rsid w:val="00436FEE"/>
    <w:rsid w:val="004404D8"/>
    <w:rsid w:val="00446BC2"/>
    <w:rsid w:val="0045294E"/>
    <w:rsid w:val="004536B1"/>
    <w:rsid w:val="00454D12"/>
    <w:rsid w:val="00465C03"/>
    <w:rsid w:val="00490B3E"/>
    <w:rsid w:val="00491762"/>
    <w:rsid w:val="00494F65"/>
    <w:rsid w:val="004B36E4"/>
    <w:rsid w:val="004B3E51"/>
    <w:rsid w:val="004C2F03"/>
    <w:rsid w:val="004D16CA"/>
    <w:rsid w:val="004D3405"/>
    <w:rsid w:val="004E2B85"/>
    <w:rsid w:val="004E4F93"/>
    <w:rsid w:val="004F3DE2"/>
    <w:rsid w:val="004F421D"/>
    <w:rsid w:val="00500511"/>
    <w:rsid w:val="00506B30"/>
    <w:rsid w:val="00511DC4"/>
    <w:rsid w:val="00512A3A"/>
    <w:rsid w:val="005363A7"/>
    <w:rsid w:val="005444D4"/>
    <w:rsid w:val="00544ABD"/>
    <w:rsid w:val="00545A64"/>
    <w:rsid w:val="005504EF"/>
    <w:rsid w:val="005518BD"/>
    <w:rsid w:val="005733D0"/>
    <w:rsid w:val="00574C37"/>
    <w:rsid w:val="00576FC3"/>
    <w:rsid w:val="00581DBE"/>
    <w:rsid w:val="00583BA9"/>
    <w:rsid w:val="00585429"/>
    <w:rsid w:val="005901F8"/>
    <w:rsid w:val="00593C87"/>
    <w:rsid w:val="00594F44"/>
    <w:rsid w:val="005A6DF1"/>
    <w:rsid w:val="005B2184"/>
    <w:rsid w:val="005C506C"/>
    <w:rsid w:val="005E4DEC"/>
    <w:rsid w:val="005F0A10"/>
    <w:rsid w:val="005F13D0"/>
    <w:rsid w:val="005F3026"/>
    <w:rsid w:val="00600B25"/>
    <w:rsid w:val="00604681"/>
    <w:rsid w:val="006244CA"/>
    <w:rsid w:val="00637849"/>
    <w:rsid w:val="006425B8"/>
    <w:rsid w:val="00643A11"/>
    <w:rsid w:val="00643C55"/>
    <w:rsid w:val="00644FA1"/>
    <w:rsid w:val="0064668D"/>
    <w:rsid w:val="00646A0E"/>
    <w:rsid w:val="00652D64"/>
    <w:rsid w:val="0065481E"/>
    <w:rsid w:val="00655704"/>
    <w:rsid w:val="006673AA"/>
    <w:rsid w:val="00683894"/>
    <w:rsid w:val="0069063D"/>
    <w:rsid w:val="00691CAB"/>
    <w:rsid w:val="00694B8E"/>
    <w:rsid w:val="006A7B61"/>
    <w:rsid w:val="006B0E32"/>
    <w:rsid w:val="006C59EE"/>
    <w:rsid w:val="006C5ADC"/>
    <w:rsid w:val="006C7439"/>
    <w:rsid w:val="006D0ACE"/>
    <w:rsid w:val="006D2C3B"/>
    <w:rsid w:val="006E0DC5"/>
    <w:rsid w:val="006E26D2"/>
    <w:rsid w:val="006E5F9A"/>
    <w:rsid w:val="006E64AE"/>
    <w:rsid w:val="006E6887"/>
    <w:rsid w:val="006F1716"/>
    <w:rsid w:val="006F27BE"/>
    <w:rsid w:val="006F5AF4"/>
    <w:rsid w:val="006F7E4E"/>
    <w:rsid w:val="007024DD"/>
    <w:rsid w:val="007059AE"/>
    <w:rsid w:val="007064B1"/>
    <w:rsid w:val="0071267E"/>
    <w:rsid w:val="00713508"/>
    <w:rsid w:val="00713C6B"/>
    <w:rsid w:val="0071487B"/>
    <w:rsid w:val="00716C93"/>
    <w:rsid w:val="00723DE9"/>
    <w:rsid w:val="00730253"/>
    <w:rsid w:val="00732425"/>
    <w:rsid w:val="0073592E"/>
    <w:rsid w:val="007433E7"/>
    <w:rsid w:val="00756E74"/>
    <w:rsid w:val="00761CE9"/>
    <w:rsid w:val="00772E41"/>
    <w:rsid w:val="00775E36"/>
    <w:rsid w:val="00777198"/>
    <w:rsid w:val="00784448"/>
    <w:rsid w:val="0079038B"/>
    <w:rsid w:val="00795ACA"/>
    <w:rsid w:val="007A4AC4"/>
    <w:rsid w:val="007B28AD"/>
    <w:rsid w:val="007B55BA"/>
    <w:rsid w:val="007C76DC"/>
    <w:rsid w:val="007D0EF7"/>
    <w:rsid w:val="007D21F7"/>
    <w:rsid w:val="007E3C5F"/>
    <w:rsid w:val="007E5CB9"/>
    <w:rsid w:val="007F2BCC"/>
    <w:rsid w:val="007F5D69"/>
    <w:rsid w:val="007F6D8E"/>
    <w:rsid w:val="00801434"/>
    <w:rsid w:val="00812B9A"/>
    <w:rsid w:val="00814E27"/>
    <w:rsid w:val="00817EE1"/>
    <w:rsid w:val="00821E24"/>
    <w:rsid w:val="008248E0"/>
    <w:rsid w:val="00827069"/>
    <w:rsid w:val="008401D1"/>
    <w:rsid w:val="0084578A"/>
    <w:rsid w:val="00855800"/>
    <w:rsid w:val="0085594F"/>
    <w:rsid w:val="00861E0A"/>
    <w:rsid w:val="008672B6"/>
    <w:rsid w:val="00870E86"/>
    <w:rsid w:val="008746CB"/>
    <w:rsid w:val="00877941"/>
    <w:rsid w:val="00885042"/>
    <w:rsid w:val="00885493"/>
    <w:rsid w:val="008916F1"/>
    <w:rsid w:val="008965F1"/>
    <w:rsid w:val="00897112"/>
    <w:rsid w:val="008A2305"/>
    <w:rsid w:val="008A4FE5"/>
    <w:rsid w:val="008A58EB"/>
    <w:rsid w:val="008A6A77"/>
    <w:rsid w:val="008B0C18"/>
    <w:rsid w:val="008B6171"/>
    <w:rsid w:val="008E28BC"/>
    <w:rsid w:val="008E3BDE"/>
    <w:rsid w:val="008F311F"/>
    <w:rsid w:val="009007AE"/>
    <w:rsid w:val="00901F71"/>
    <w:rsid w:val="009029B4"/>
    <w:rsid w:val="00906C02"/>
    <w:rsid w:val="00911B29"/>
    <w:rsid w:val="00916980"/>
    <w:rsid w:val="0091759E"/>
    <w:rsid w:val="00917D9D"/>
    <w:rsid w:val="00927FEC"/>
    <w:rsid w:val="00951E30"/>
    <w:rsid w:val="00957388"/>
    <w:rsid w:val="00960407"/>
    <w:rsid w:val="00962684"/>
    <w:rsid w:val="0098081B"/>
    <w:rsid w:val="009824F2"/>
    <w:rsid w:val="00990DCB"/>
    <w:rsid w:val="00992FC0"/>
    <w:rsid w:val="009943DE"/>
    <w:rsid w:val="009A4AA5"/>
    <w:rsid w:val="009C067B"/>
    <w:rsid w:val="009C0FAE"/>
    <w:rsid w:val="009C100B"/>
    <w:rsid w:val="009C4A6A"/>
    <w:rsid w:val="009E00C4"/>
    <w:rsid w:val="009F0CB6"/>
    <w:rsid w:val="009F3D15"/>
    <w:rsid w:val="00A07EE4"/>
    <w:rsid w:val="00A15048"/>
    <w:rsid w:val="00A15901"/>
    <w:rsid w:val="00A168EA"/>
    <w:rsid w:val="00A200AA"/>
    <w:rsid w:val="00A20210"/>
    <w:rsid w:val="00A22A76"/>
    <w:rsid w:val="00A4488E"/>
    <w:rsid w:val="00A46C7B"/>
    <w:rsid w:val="00A51724"/>
    <w:rsid w:val="00A523F2"/>
    <w:rsid w:val="00A52A36"/>
    <w:rsid w:val="00A6487B"/>
    <w:rsid w:val="00A651AA"/>
    <w:rsid w:val="00A70257"/>
    <w:rsid w:val="00A83AF2"/>
    <w:rsid w:val="00AA2FF3"/>
    <w:rsid w:val="00AA64D6"/>
    <w:rsid w:val="00AB1D79"/>
    <w:rsid w:val="00AC1875"/>
    <w:rsid w:val="00AD4D96"/>
    <w:rsid w:val="00AD558C"/>
    <w:rsid w:val="00AE344E"/>
    <w:rsid w:val="00AE77CD"/>
    <w:rsid w:val="00AE7913"/>
    <w:rsid w:val="00AF3175"/>
    <w:rsid w:val="00B008D3"/>
    <w:rsid w:val="00B00A18"/>
    <w:rsid w:val="00B057F3"/>
    <w:rsid w:val="00B1551A"/>
    <w:rsid w:val="00B2100B"/>
    <w:rsid w:val="00B24FCC"/>
    <w:rsid w:val="00B25965"/>
    <w:rsid w:val="00B26AFF"/>
    <w:rsid w:val="00B35072"/>
    <w:rsid w:val="00B42053"/>
    <w:rsid w:val="00B42239"/>
    <w:rsid w:val="00B46DC3"/>
    <w:rsid w:val="00B721B2"/>
    <w:rsid w:val="00B75828"/>
    <w:rsid w:val="00B80607"/>
    <w:rsid w:val="00B825B1"/>
    <w:rsid w:val="00B82858"/>
    <w:rsid w:val="00B87DDA"/>
    <w:rsid w:val="00B94EDD"/>
    <w:rsid w:val="00BA141C"/>
    <w:rsid w:val="00BA3A09"/>
    <w:rsid w:val="00BA3A2E"/>
    <w:rsid w:val="00BA59FB"/>
    <w:rsid w:val="00BA68BE"/>
    <w:rsid w:val="00BB0C25"/>
    <w:rsid w:val="00BB1B03"/>
    <w:rsid w:val="00BC4805"/>
    <w:rsid w:val="00BC514C"/>
    <w:rsid w:val="00BE5ACC"/>
    <w:rsid w:val="00BF0514"/>
    <w:rsid w:val="00BF40CB"/>
    <w:rsid w:val="00C02BFD"/>
    <w:rsid w:val="00C115BC"/>
    <w:rsid w:val="00C13076"/>
    <w:rsid w:val="00C14C51"/>
    <w:rsid w:val="00C15093"/>
    <w:rsid w:val="00C179BD"/>
    <w:rsid w:val="00C332EA"/>
    <w:rsid w:val="00C363BC"/>
    <w:rsid w:val="00C41618"/>
    <w:rsid w:val="00C52218"/>
    <w:rsid w:val="00C618BE"/>
    <w:rsid w:val="00C65C3D"/>
    <w:rsid w:val="00C71C8E"/>
    <w:rsid w:val="00C77AED"/>
    <w:rsid w:val="00C8749A"/>
    <w:rsid w:val="00CA1E1A"/>
    <w:rsid w:val="00CB4357"/>
    <w:rsid w:val="00CB5AFF"/>
    <w:rsid w:val="00CC2844"/>
    <w:rsid w:val="00CC5641"/>
    <w:rsid w:val="00CC618B"/>
    <w:rsid w:val="00CD078D"/>
    <w:rsid w:val="00CD73E2"/>
    <w:rsid w:val="00D103D5"/>
    <w:rsid w:val="00D107FC"/>
    <w:rsid w:val="00D2187A"/>
    <w:rsid w:val="00D22C69"/>
    <w:rsid w:val="00D24D10"/>
    <w:rsid w:val="00D4264A"/>
    <w:rsid w:val="00D45F40"/>
    <w:rsid w:val="00D46F7F"/>
    <w:rsid w:val="00D53730"/>
    <w:rsid w:val="00D53CA6"/>
    <w:rsid w:val="00D56656"/>
    <w:rsid w:val="00D65261"/>
    <w:rsid w:val="00D7325B"/>
    <w:rsid w:val="00D77B83"/>
    <w:rsid w:val="00D86331"/>
    <w:rsid w:val="00D871F2"/>
    <w:rsid w:val="00D93B2C"/>
    <w:rsid w:val="00D94F1C"/>
    <w:rsid w:val="00DA5F68"/>
    <w:rsid w:val="00DB38B6"/>
    <w:rsid w:val="00DB76BE"/>
    <w:rsid w:val="00DC0FBA"/>
    <w:rsid w:val="00DC5E02"/>
    <w:rsid w:val="00DC5ED1"/>
    <w:rsid w:val="00DD3448"/>
    <w:rsid w:val="00DD500E"/>
    <w:rsid w:val="00DD5185"/>
    <w:rsid w:val="00DE0261"/>
    <w:rsid w:val="00DE155C"/>
    <w:rsid w:val="00DE6F6F"/>
    <w:rsid w:val="00DE7B69"/>
    <w:rsid w:val="00E02BF1"/>
    <w:rsid w:val="00E04663"/>
    <w:rsid w:val="00E14E93"/>
    <w:rsid w:val="00E1543A"/>
    <w:rsid w:val="00E171E0"/>
    <w:rsid w:val="00E1780A"/>
    <w:rsid w:val="00E27032"/>
    <w:rsid w:val="00E31F9C"/>
    <w:rsid w:val="00E34424"/>
    <w:rsid w:val="00E40E13"/>
    <w:rsid w:val="00E424AB"/>
    <w:rsid w:val="00E60B7C"/>
    <w:rsid w:val="00E6739E"/>
    <w:rsid w:val="00E70650"/>
    <w:rsid w:val="00E7507C"/>
    <w:rsid w:val="00E965DA"/>
    <w:rsid w:val="00EB033E"/>
    <w:rsid w:val="00EB6852"/>
    <w:rsid w:val="00EC577D"/>
    <w:rsid w:val="00EC5E8D"/>
    <w:rsid w:val="00ED4BDA"/>
    <w:rsid w:val="00ED7109"/>
    <w:rsid w:val="00EE6D1F"/>
    <w:rsid w:val="00EF1C18"/>
    <w:rsid w:val="00EF2237"/>
    <w:rsid w:val="00EF49EF"/>
    <w:rsid w:val="00EF4DB2"/>
    <w:rsid w:val="00EF5FD8"/>
    <w:rsid w:val="00F05D78"/>
    <w:rsid w:val="00F1126B"/>
    <w:rsid w:val="00F13FB9"/>
    <w:rsid w:val="00F141F1"/>
    <w:rsid w:val="00F16D22"/>
    <w:rsid w:val="00F17EAE"/>
    <w:rsid w:val="00F243A7"/>
    <w:rsid w:val="00F34375"/>
    <w:rsid w:val="00F37A59"/>
    <w:rsid w:val="00F47CD0"/>
    <w:rsid w:val="00F56F49"/>
    <w:rsid w:val="00F57E40"/>
    <w:rsid w:val="00F66ED8"/>
    <w:rsid w:val="00F71DCE"/>
    <w:rsid w:val="00F73840"/>
    <w:rsid w:val="00F7786D"/>
    <w:rsid w:val="00F94FC3"/>
    <w:rsid w:val="00F95DD9"/>
    <w:rsid w:val="00FA1070"/>
    <w:rsid w:val="00FA537B"/>
    <w:rsid w:val="00FB00E2"/>
    <w:rsid w:val="00FB3450"/>
    <w:rsid w:val="00FB5EAD"/>
    <w:rsid w:val="00FC133D"/>
    <w:rsid w:val="00FD40F7"/>
    <w:rsid w:val="00FE1CD0"/>
    <w:rsid w:val="00FE3EF4"/>
    <w:rsid w:val="00FE47FD"/>
    <w:rsid w:val="00FE480D"/>
    <w:rsid w:val="00FE4E15"/>
    <w:rsid w:val="00FE77E5"/>
    <w:rsid w:val="00FF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D1F4"/>
  <w15:chartTrackingRefBased/>
  <w15:docId w15:val="{E066AF08-FEAA-429F-BA78-2FF94445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8F4"/>
  </w:style>
  <w:style w:type="paragraph" w:styleId="Heading1">
    <w:name w:val="heading 1"/>
    <w:basedOn w:val="Normal"/>
    <w:next w:val="Normal"/>
    <w:link w:val="Heading1Char"/>
    <w:uiPriority w:val="9"/>
    <w:qFormat/>
    <w:rsid w:val="006A7B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F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7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A7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31A77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31A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1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31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31A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A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A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EDD"/>
    <w:rPr>
      <w:b/>
      <w:bCs/>
      <w:sz w:val="20"/>
      <w:szCs w:val="20"/>
    </w:rPr>
  </w:style>
  <w:style w:type="paragraph" w:customStyle="1" w:styleId="xmsonormal">
    <w:name w:val="xmsonormal"/>
    <w:basedOn w:val="Normal"/>
    <w:rsid w:val="00A83AF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92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FC0"/>
  </w:style>
  <w:style w:type="paragraph" w:styleId="Footer">
    <w:name w:val="footer"/>
    <w:basedOn w:val="Normal"/>
    <w:link w:val="FooterChar"/>
    <w:uiPriority w:val="99"/>
    <w:unhideWhenUsed/>
    <w:rsid w:val="00992F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FC0"/>
  </w:style>
  <w:style w:type="character" w:customStyle="1" w:styleId="Heading2Char">
    <w:name w:val="Heading 2 Char"/>
    <w:basedOn w:val="DefaultParagraphFont"/>
    <w:link w:val="Heading2"/>
    <w:uiPriority w:val="9"/>
    <w:rsid w:val="00992F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70E8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A7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qFormat/>
    <w:rsid w:val="006A7B61"/>
    <w:pPr>
      <w:spacing w:after="200" w:line="288" w:lineRule="auto"/>
    </w:pPr>
    <w:rPr>
      <w:rFonts w:ascii="Arial" w:hAnsi="Arial" w:cs="Arial"/>
      <w:color w:val="44546A" w:themeColor="text2"/>
      <w:sz w:val="20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6A7B61"/>
    <w:rPr>
      <w:rFonts w:ascii="Arial" w:hAnsi="Arial" w:cs="Arial"/>
      <w:color w:val="44546A" w:themeColor="text2"/>
      <w:sz w:val="20"/>
      <w:szCs w:val="20"/>
      <w:lang w:val="fr-FR"/>
    </w:rPr>
  </w:style>
  <w:style w:type="paragraph" w:styleId="ListBullet">
    <w:name w:val="List Bullet"/>
    <w:basedOn w:val="Normal"/>
    <w:link w:val="ListBulletChar"/>
    <w:uiPriority w:val="2"/>
    <w:qFormat/>
    <w:rsid w:val="006A7B61"/>
    <w:pPr>
      <w:numPr>
        <w:numId w:val="6"/>
      </w:numPr>
      <w:spacing w:after="0" w:line="288" w:lineRule="auto"/>
    </w:pPr>
    <w:rPr>
      <w:rFonts w:ascii="Arial" w:hAnsi="Arial" w:cs="Arial"/>
      <w:color w:val="44546A" w:themeColor="text2"/>
      <w:sz w:val="20"/>
      <w:szCs w:val="20"/>
    </w:rPr>
  </w:style>
  <w:style w:type="character" w:customStyle="1" w:styleId="ListBulletChar">
    <w:name w:val="List Bullet Char"/>
    <w:basedOn w:val="DefaultParagraphFont"/>
    <w:link w:val="ListBullet"/>
    <w:uiPriority w:val="2"/>
    <w:rsid w:val="006A7B61"/>
    <w:rPr>
      <w:rFonts w:ascii="Arial" w:hAnsi="Arial" w:cs="Arial"/>
      <w:color w:val="44546A" w:themeColor="text2"/>
      <w:sz w:val="20"/>
      <w:szCs w:val="20"/>
    </w:rPr>
  </w:style>
  <w:style w:type="paragraph" w:styleId="ListNumber">
    <w:name w:val="List Number"/>
    <w:basedOn w:val="Normal"/>
    <w:uiPriority w:val="2"/>
    <w:qFormat/>
    <w:rsid w:val="006A7B61"/>
    <w:pPr>
      <w:numPr>
        <w:numId w:val="7"/>
      </w:numPr>
      <w:spacing w:after="60" w:line="288" w:lineRule="auto"/>
    </w:pPr>
    <w:rPr>
      <w:rFonts w:ascii="Arial" w:hAnsi="Arial" w:cs="Arial"/>
      <w:color w:val="44546A" w:themeColor="text2"/>
      <w:sz w:val="20"/>
      <w:szCs w:val="20"/>
    </w:rPr>
  </w:style>
  <w:style w:type="paragraph" w:styleId="ListNumber2">
    <w:name w:val="List Number 2"/>
    <w:basedOn w:val="Normal"/>
    <w:uiPriority w:val="4"/>
    <w:qFormat/>
    <w:rsid w:val="006A7B61"/>
    <w:pPr>
      <w:numPr>
        <w:ilvl w:val="1"/>
        <w:numId w:val="7"/>
      </w:numPr>
      <w:spacing w:after="60" w:line="240" w:lineRule="auto"/>
      <w:contextualSpacing/>
    </w:pPr>
    <w:rPr>
      <w:rFonts w:ascii="Arial" w:hAnsi="Arial" w:cs="Arial"/>
      <w:color w:val="44546A" w:themeColor="text2"/>
      <w:sz w:val="20"/>
      <w:szCs w:val="20"/>
    </w:rPr>
  </w:style>
  <w:style w:type="paragraph" w:styleId="ListBullet2">
    <w:name w:val="List Bullet 2"/>
    <w:basedOn w:val="Normal"/>
    <w:uiPriority w:val="4"/>
    <w:qFormat/>
    <w:rsid w:val="006A7B61"/>
    <w:pPr>
      <w:numPr>
        <w:ilvl w:val="1"/>
        <w:numId w:val="6"/>
      </w:numPr>
      <w:spacing w:after="60" w:line="240" w:lineRule="auto"/>
    </w:pPr>
    <w:rPr>
      <w:rFonts w:ascii="Arial" w:hAnsi="Arial" w:cs="Arial"/>
      <w:color w:val="44546A" w:themeColor="text2"/>
      <w:sz w:val="20"/>
      <w:szCs w:val="20"/>
    </w:rPr>
  </w:style>
  <w:style w:type="paragraph" w:styleId="Title">
    <w:name w:val="Title"/>
    <w:basedOn w:val="Heading1"/>
    <w:next w:val="Normal"/>
    <w:link w:val="TitleChar"/>
    <w:uiPriority w:val="15"/>
    <w:qFormat/>
    <w:rsid w:val="006A7B61"/>
    <w:pPr>
      <w:spacing w:before="480" w:after="360" w:line="240" w:lineRule="auto"/>
    </w:pPr>
    <w:rPr>
      <w:rFonts w:ascii="Arial" w:hAnsi="Arial"/>
      <w:b/>
      <w:bCs/>
      <w:caps/>
      <w:color w:val="E7E6E6" w:themeColor="background2"/>
      <w:sz w:val="96"/>
      <w:szCs w:val="36"/>
    </w:rPr>
  </w:style>
  <w:style w:type="character" w:customStyle="1" w:styleId="TitleChar">
    <w:name w:val="Title Char"/>
    <w:basedOn w:val="DefaultParagraphFont"/>
    <w:link w:val="Title"/>
    <w:uiPriority w:val="15"/>
    <w:rsid w:val="006A7B61"/>
    <w:rPr>
      <w:rFonts w:ascii="Arial" w:eastAsiaTheme="majorEastAsia" w:hAnsi="Arial" w:cstheme="majorBidi"/>
      <w:b/>
      <w:bCs/>
      <w:caps/>
      <w:color w:val="E7E6E6" w:themeColor="background2"/>
      <w:sz w:val="96"/>
      <w:szCs w:val="36"/>
    </w:rPr>
  </w:style>
  <w:style w:type="paragraph" w:customStyle="1" w:styleId="EventName">
    <w:name w:val="Event Name"/>
    <w:basedOn w:val="BodyText"/>
    <w:uiPriority w:val="9"/>
    <w:qFormat/>
    <w:rsid w:val="006A7B61"/>
    <w:rPr>
      <w:b/>
      <w:caps/>
      <w:color w:val="E7E6E6" w:themeColor="background2"/>
      <w:sz w:val="40"/>
    </w:rPr>
  </w:style>
  <w:style w:type="paragraph" w:customStyle="1" w:styleId="LocationDate">
    <w:name w:val="Location / Date"/>
    <w:basedOn w:val="BodyText"/>
    <w:uiPriority w:val="10"/>
    <w:qFormat/>
    <w:rsid w:val="006A7B61"/>
    <w:rPr>
      <w:caps/>
      <w:color w:val="E7E6E6" w:themeColor="background2"/>
      <w:sz w:val="28"/>
    </w:rPr>
  </w:style>
  <w:style w:type="paragraph" w:styleId="Subtitle">
    <w:name w:val="Subtitle"/>
    <w:basedOn w:val="BodyText"/>
    <w:next w:val="Normal"/>
    <w:link w:val="SubtitleChar"/>
    <w:uiPriority w:val="16"/>
    <w:qFormat/>
    <w:rsid w:val="006A7B61"/>
    <w:pPr>
      <w:pBdr>
        <w:top w:val="single" w:sz="8" w:space="28" w:color="44546A" w:themeColor="text2"/>
      </w:pBdr>
      <w:spacing w:before="720" w:after="360"/>
      <w:ind w:right="1304"/>
    </w:pPr>
    <w:rPr>
      <w:b/>
      <w:color w:val="E7E6E6" w:themeColor="background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6"/>
    <w:rsid w:val="006A7B61"/>
    <w:rPr>
      <w:rFonts w:ascii="Arial" w:hAnsi="Arial" w:cs="Arial"/>
      <w:b/>
      <w:color w:val="E7E6E6" w:themeColor="background2"/>
      <w:sz w:val="28"/>
      <w:szCs w:val="28"/>
      <w:lang w:val="fr-FR"/>
    </w:rPr>
  </w:style>
  <w:style w:type="paragraph" w:customStyle="1" w:styleId="DayEntry">
    <w:name w:val="Day Entry"/>
    <w:basedOn w:val="BodyText"/>
    <w:uiPriority w:val="11"/>
    <w:qFormat/>
    <w:rsid w:val="006A7B61"/>
    <w:pPr>
      <w:spacing w:after="280"/>
    </w:pPr>
    <w:rPr>
      <w:b/>
      <w:caps/>
      <w:color w:val="E7E6E6" w:themeColor="background2"/>
      <w:sz w:val="36"/>
      <w:szCs w:val="28"/>
    </w:rPr>
  </w:style>
  <w:style w:type="table" w:customStyle="1" w:styleId="ETFAgenda">
    <w:name w:val="ETF Agenda"/>
    <w:basedOn w:val="TableNormal"/>
    <w:uiPriority w:val="99"/>
    <w:rsid w:val="006A7B61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BFBFBF" w:themeColor="background1" w:themeShade="BF"/>
        <w:bottom w:val="single" w:sz="8" w:space="0" w:color="BFBFBF" w:themeColor="background1" w:themeShade="BF"/>
        <w:insideH w:val="single" w:sz="8" w:space="0" w:color="BFBFBF" w:themeColor="background1" w:themeShade="BF"/>
        <w:insideV w:val="single" w:sz="8" w:space="0" w:color="BFBFBF" w:themeColor="background1" w:themeShade="BF"/>
      </w:tblBorders>
    </w:tblPr>
    <w:tblStylePr w:type="firstRow">
      <w:tblPr/>
      <w:tcPr>
        <w:tcBorders>
          <w:top w:val="single" w:sz="8" w:space="0" w:color="E7E6E6" w:themeColor="background2"/>
          <w:left w:val="nil"/>
          <w:bottom w:val="single" w:sz="8" w:space="0" w:color="E7E6E6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single" w:sz="8" w:space="0" w:color="E7E6E6" w:themeColor="background2"/>
          <w:right w:val="nil"/>
          <w:insideH w:val="nil"/>
          <w:insideV w:val="single" w:sz="8" w:space="0" w:color="BFBFBF" w:themeColor="background1" w:themeShade="BF"/>
          <w:tl2br w:val="nil"/>
          <w:tr2bl w:val="nil"/>
        </w:tcBorders>
      </w:tcPr>
    </w:tblStylePr>
  </w:style>
  <w:style w:type="paragraph" w:customStyle="1" w:styleId="TableFirstColumn">
    <w:name w:val="Table First Column"/>
    <w:link w:val="TableFirstColumnChar"/>
    <w:uiPriority w:val="7"/>
    <w:qFormat/>
    <w:rsid w:val="006A7B61"/>
    <w:pPr>
      <w:spacing w:after="0" w:line="240" w:lineRule="auto"/>
    </w:pPr>
    <w:rPr>
      <w:rFonts w:ascii="Arial" w:hAnsi="Arial" w:cs="Arial"/>
      <w:b/>
      <w:noProof/>
      <w:color w:val="E7E6E6" w:themeColor="background2"/>
      <w:sz w:val="18"/>
      <w:szCs w:val="20"/>
    </w:rPr>
  </w:style>
  <w:style w:type="character" w:customStyle="1" w:styleId="TableFirstColumnChar">
    <w:name w:val="Table First Column Char"/>
    <w:basedOn w:val="DefaultParagraphFont"/>
    <w:link w:val="TableFirstColumn"/>
    <w:uiPriority w:val="7"/>
    <w:rsid w:val="006A7B61"/>
    <w:rPr>
      <w:rFonts w:ascii="Arial" w:hAnsi="Arial" w:cs="Arial"/>
      <w:b/>
      <w:noProof/>
      <w:color w:val="E7E6E6" w:themeColor="background2"/>
      <w:sz w:val="18"/>
      <w:szCs w:val="20"/>
    </w:rPr>
  </w:style>
  <w:style w:type="character" w:customStyle="1" w:styleId="wiw-person-detail-position">
    <w:name w:val="wiw-person-detail-position"/>
    <w:basedOn w:val="DefaultParagraphFont"/>
    <w:rsid w:val="00506B30"/>
  </w:style>
  <w:style w:type="character" w:customStyle="1" w:styleId="wiw-person-detail-organization">
    <w:name w:val="wiw-person-detail-organization"/>
    <w:basedOn w:val="DefaultParagraphFont"/>
    <w:rsid w:val="00506B30"/>
  </w:style>
  <w:style w:type="character" w:styleId="Strong">
    <w:name w:val="Strong"/>
    <w:basedOn w:val="DefaultParagraphFont"/>
    <w:uiPriority w:val="22"/>
    <w:qFormat/>
    <w:rsid w:val="005901F8"/>
    <w:rPr>
      <w:b/>
      <w:bCs/>
    </w:rPr>
  </w:style>
  <w:style w:type="paragraph" w:customStyle="1" w:styleId="Default">
    <w:name w:val="Default"/>
    <w:rsid w:val="006557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5D78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6F27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9BAFF558834EC2AA51DACE685DE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B376D-FBBD-43BF-B829-93DB13845362}"/>
      </w:docPartPr>
      <w:docPartBody>
        <w:p w:rsidR="004C4F7D" w:rsidRDefault="003A3854" w:rsidP="003A3854">
          <w:pPr>
            <w:pStyle w:val="619BAFF558834EC2AA51DACE685DE95F"/>
          </w:pPr>
          <w:r>
            <w:t>EVENT NAME</w:t>
          </w:r>
        </w:p>
      </w:docPartBody>
    </w:docPart>
    <w:docPart>
      <w:docPartPr>
        <w:name w:val="C9488D554D1247F6A63D957CE1EA4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92542-E388-456C-9A2E-7FA3E5C60F47}"/>
      </w:docPartPr>
      <w:docPartBody>
        <w:p w:rsidR="004C4F7D" w:rsidRDefault="003A3854" w:rsidP="003A3854">
          <w:pPr>
            <w:pStyle w:val="C9488D554D1247F6A63D957CE1EA4F0D"/>
          </w:pPr>
          <w:r>
            <w:t>LOCATION</w:t>
          </w:r>
        </w:p>
      </w:docPartBody>
    </w:docPart>
    <w:docPart>
      <w:docPartPr>
        <w:name w:val="5D3FAD44AFE84890A28047E374B11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C4CB0-49BA-4B83-B56D-54DDFFA236F2}"/>
      </w:docPartPr>
      <w:docPartBody>
        <w:p w:rsidR="004C4F7D" w:rsidRDefault="003A3854" w:rsidP="003A3854">
          <w:pPr>
            <w:pStyle w:val="5D3FAD44AFE84890A28047E374B11A99"/>
          </w:pPr>
          <w:r>
            <w:t>DATE(s)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9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54"/>
    <w:rsid w:val="0025364D"/>
    <w:rsid w:val="003A3854"/>
    <w:rsid w:val="004C4F7D"/>
    <w:rsid w:val="004C6F0B"/>
    <w:rsid w:val="00703F37"/>
    <w:rsid w:val="00895042"/>
    <w:rsid w:val="009B6A6E"/>
    <w:rsid w:val="00A978E6"/>
    <w:rsid w:val="00BB5E71"/>
    <w:rsid w:val="00C10CDE"/>
    <w:rsid w:val="00E11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9BAFF558834EC2AA51DACE685DE95F">
    <w:name w:val="619BAFF558834EC2AA51DACE685DE95F"/>
    <w:rsid w:val="003A3854"/>
  </w:style>
  <w:style w:type="paragraph" w:customStyle="1" w:styleId="C9488D554D1247F6A63D957CE1EA4F0D">
    <w:name w:val="C9488D554D1247F6A63D957CE1EA4F0D"/>
    <w:rsid w:val="003A3854"/>
  </w:style>
  <w:style w:type="paragraph" w:customStyle="1" w:styleId="5D3FAD44AFE84890A28047E374B11A99">
    <w:name w:val="5D3FAD44AFE84890A28047E374B11A99"/>
    <w:rsid w:val="003A3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Year xmlns="bd52c674-9eb6-4ff1-85cb-4fb748e524c9">2021</ReferenceYear>
    <Intranet xmlns="df6b2545-d15d-4d63-86ca-644416e434f8">false</Intranet>
    <Operations_x0020_Keywords xmlns="bd52c674-9eb6-4ff1-85cb-4fb748e524c9">
      <Value>Expertise development</Value>
    </Operations_x0020_Keywords>
    <Countries xmlns="df6b2545-d15d-4d63-86ca-644416e434f8">
      <Value>231</Value>
    </Countries>
    <IPubSourceDocPublicationStatus xmlns="df6b2545-d15d-4d63-86ca-644416e434f8">Published</IPubSourceDocPublicationStatus>
    <Status xmlns="bd52c674-9eb6-4ff1-85cb-4fb748e524c9" xsi:nil="true"/>
    <Origin xmlns="bd52c674-9eb6-4ff1-85cb-4fb748e524c9" xsi:nil="true"/>
    <Regions xmlns="df6b2545-d15d-4d63-86ca-644416e434f8">
      <Value>Not Applicable</Value>
    </Regions>
    <ETFLanguage xmlns="bd52c674-9eb6-4ff1-85cb-4fb748e524c9">English</ETFLanguage>
    <OperationsSubArea xmlns="bd52c674-9eb6-4ff1-85cb-4fb748e524c9">Employment, employability and mobility</OperationsSubArea>
    <General_x0020_Keywords xmlns="df6b2545-d15d-4d63-86ca-644416e434f8"/>
    <ReferenceNumber xmlns="bd52c674-9eb6-4ff1-85cb-4fb748e524c9">2020/OP/PF/PRC/026</ReferenceNumber>
    <Authors xmlns="bd52c674-9eb6-4ff1-85cb-4fb748e524c9" xsi:nil="true"/>
    <_dlc_DocId xmlns="df6b2545-d15d-4d63-86ca-644416e434f8">ETFDMS-2141349068-6048</_dlc_DocId>
    <_dlc_DocIdUrl xmlns="df6b2545-d15d-4d63-86ca-644416e434f8">
      <Url>https://sharing.etf.europa.eu/sites/dms/ops/_layouts/15/DocIdRedir.aspx?ID=ETFDMS-2141349068-6048</Url>
      <Description>ETFDMS-2141349068-6048</Description>
    </_dlc_DocIdUrl>
    <Event_x0020_Meeting_x0020_Document_x0020_Type xmlns="df6b2545-d15d-4d63-86ca-644416e434f8">Agenda</Event_x0020_Meeting_x0020_Document_x0020_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vent-Meeting Document" ma:contentTypeID="0x01010018C77CAB493C4CC28C851D171ACDEB5D00596B2BA2685E0A45A241E5F16505E5C500FD3543D0F7DEA045891C61208AE09783" ma:contentTypeVersion="22" ma:contentTypeDescription="" ma:contentTypeScope="" ma:versionID="d9db0b8ce293a51c80473951900dda6e">
  <xsd:schema xmlns:xsd="http://www.w3.org/2001/XMLSchema" xmlns:xs="http://www.w3.org/2001/XMLSchema" xmlns:p="http://schemas.microsoft.com/office/2006/metadata/properties" xmlns:ns1="df6b2545-d15d-4d63-86ca-644416e434f8" xmlns:ns2="bd52c674-9eb6-4ff1-85cb-4fb748e524c9" targetNamespace="http://schemas.microsoft.com/office/2006/metadata/properties" ma:root="true" ma:fieldsID="4a1f5d280b9e1ba19742397634b95ee0" ns1:_="" ns2:_="">
    <xsd:import namespace="df6b2545-d15d-4d63-86ca-644416e434f8"/>
    <xsd:import namespace="bd52c674-9eb6-4ff1-85cb-4fb748e524c9"/>
    <xsd:element name="properties">
      <xsd:complexType>
        <xsd:sequence>
          <xsd:element name="documentManagement">
            <xsd:complexType>
              <xsd:all>
                <xsd:element ref="ns1:Event_x0020_Meeting_x0020_Document_x0020_Type"/>
                <xsd:element ref="ns2:OperationsSubArea"/>
                <xsd:element ref="ns2:ReferenceYear"/>
                <xsd:element ref="ns2:Authors" minOccurs="0"/>
                <xsd:element ref="ns2:ETFLanguage" minOccurs="0"/>
                <xsd:element ref="ns2:ReferenceNumber" minOccurs="0"/>
                <xsd:element ref="ns2:Operations_x0020_Keywords" minOccurs="0"/>
                <xsd:element ref="ns1:Countries" minOccurs="0"/>
                <xsd:element ref="ns1:Regions" minOccurs="0"/>
                <xsd:element ref="ns2:Origin" minOccurs="0"/>
                <xsd:element ref="ns1:General_x0020_Keywords" minOccurs="0"/>
                <xsd:element ref="ns2:Status" minOccurs="0"/>
                <xsd:element ref="ns1:_dlc_DocId" minOccurs="0"/>
                <xsd:element ref="ns1:_dlc_DocIdUrl" minOccurs="0"/>
                <xsd:element ref="ns1:_dlc_DocIdPersistId" minOccurs="0"/>
                <xsd:element ref="ns1:IPubSourceDocPublicationStatus" minOccurs="0"/>
                <xsd:element ref="ns1:Intran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b2545-d15d-4d63-86ca-644416e434f8" elementFormDefault="qualified">
    <xsd:import namespace="http://schemas.microsoft.com/office/2006/documentManagement/types"/>
    <xsd:import namespace="http://schemas.microsoft.com/office/infopath/2007/PartnerControls"/>
    <xsd:element name="Event_x0020_Meeting_x0020_Document_x0020_Type" ma:index="0" ma:displayName="Event-Meeting Document Type" ma:format="Dropdown" ma:internalName="Event_x0020_Meeting_x0020_Document_x0020_Type" ma:readOnly="false">
      <xsd:simpleType>
        <xsd:restriction base="dms:Choice">
          <xsd:enumeration value="Agenda"/>
          <xsd:enumeration value="Article"/>
          <xsd:enumeration value="Background note"/>
          <xsd:enumeration value="Briefing for speakers"/>
          <xsd:enumeration value="Budget"/>
          <xsd:enumeration value="Concept note"/>
          <xsd:enumeration value="Event assessment"/>
          <xsd:enumeration value="Event profile"/>
          <xsd:enumeration value="Feedback report"/>
          <xsd:enumeration value="Final report"/>
          <xsd:enumeration value="Invitation"/>
          <xsd:enumeration value="Paper"/>
          <xsd:enumeration value="Participants List"/>
          <xsd:enumeration value="Presentation"/>
          <xsd:enumeration value="Press release"/>
          <xsd:enumeration value="Speech"/>
        </xsd:restriction>
      </xsd:simpleType>
    </xsd:element>
    <xsd:element name="Countries" ma:index="9" nillable="true" ma:displayName="Countries" ma:list="{9194351c-4b7d-432a-9a74-6cfaf37d5a5a}" ma:internalName="Countries0" ma:readOnly="false" ma:showField="Title" ma:web="df6b2545-d15d-4d63-86ca-644416e434f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ons" ma:index="10" nillable="true" ma:displayName="Regions" ma:default="Not Applicable" ma:internalName="Region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t Applicable"/>
                    <xsd:enumeration value="Central Asia"/>
                    <xsd:enumeration value="Eastern Europe"/>
                    <xsd:enumeration value="South Eastern Europe and Turkey (SEET)"/>
                    <xsd:enumeration value="Southern and Eastern Mediterranean (SEMED)"/>
                  </xsd:restriction>
                </xsd:simpleType>
              </xsd:element>
            </xsd:sequence>
          </xsd:extension>
        </xsd:complexContent>
      </xsd:complexType>
    </xsd:element>
    <xsd:element name="General_x0020_Keywords" ma:index="12" nillable="true" ma:displayName="General Keywords" ma:hidden="true" ma:internalName="General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istration"/>
                    <xsd:enumeration value="Audit"/>
                    <xsd:enumeration value="Budget"/>
                    <xsd:enumeration value="Communication"/>
                    <xsd:enumeration value="Corporate"/>
                    <xsd:enumeration value="Correspondence"/>
                    <xsd:enumeration value="Evaluation"/>
                    <xsd:enumeration value="Facilities"/>
                    <xsd:enumeration value="Finance"/>
                    <xsd:enumeration value="Governance"/>
                    <xsd:enumeration value="Human resources"/>
                    <xsd:enumeration value="ICT"/>
                    <xsd:enumeration value="Management"/>
                    <xsd:enumeration value="Monitoring"/>
                    <xsd:enumeration value="Operations"/>
                    <xsd:enumeration value="Organisational development"/>
                    <xsd:enumeration value="Planning"/>
                    <xsd:enumeration value="Procurement"/>
                    <xsd:enumeration value="Reporting"/>
                    <xsd:enumeration value="Staff committee"/>
                    <xsd:enumeration value="Strategy"/>
                  </xsd:restriction>
                </xsd:simpleType>
              </xsd:element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PubSourceDocPublicationStatus" ma:index="23" nillable="true" ma:displayName="Publication Status" ma:format="Dropdown" ma:hidden="true" ma:internalName="IPubSourceDocPublicationStatus" ma:readOnly="false">
      <xsd:simpleType>
        <xsd:restriction base="dms:Choice">
          <xsd:enumeration value="Published"/>
          <xsd:enumeration value="Unpublished"/>
        </xsd:restriction>
      </xsd:simpleType>
    </xsd:element>
    <xsd:element name="Intranet" ma:index="24" nillable="true" ma:displayName="Intranet" ma:default="0" ma:internalName="Intran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2c674-9eb6-4ff1-85cb-4fb748e524c9" elementFormDefault="qualified">
    <xsd:import namespace="http://schemas.microsoft.com/office/2006/documentManagement/types"/>
    <xsd:import namespace="http://schemas.microsoft.com/office/infopath/2007/PartnerControls"/>
    <xsd:element name="OperationsSubArea" ma:index="1" ma:displayName="Operations Sub Area" ma:format="Dropdown" ma:internalName="OperationsSubArea">
      <xsd:simpleType>
        <xsd:restriction base="dms:Choice">
          <xsd:enumeration value="Support to the EU policy and external assistance"/>
          <xsd:enumeration value="Policy analysis and system wide progress monitoring"/>
          <xsd:enumeration value="VET governance"/>
          <xsd:enumeration value="Qualifications and qualification system"/>
          <xsd:enumeration value="VET provision and quality"/>
          <xsd:enumeration value="Employment, employability and mobility"/>
          <xsd:enumeration value="Entrepreneurial learning and enterprise skills"/>
          <xsd:enumeration value="Country desks"/>
          <xsd:enumeration value="GEMM"/>
          <xsd:enumeration value="Statistics"/>
          <xsd:enumeration value="Knowledge management"/>
          <xsd:enumeration value="Capacity building"/>
          <xsd:enumeration value="Expertise development"/>
          <xsd:enumeration value="Regional activities"/>
          <xsd:enumeration value="Management and coordination"/>
          <xsd:enumeration value="Planning monitoring and reporting"/>
          <xsd:enumeration value="Finance and procurement"/>
        </xsd:restriction>
      </xsd:simpleType>
    </xsd:element>
    <xsd:element name="ReferenceYear" ma:index="4" ma:displayName="Reference Year" ma:default="2021" ma:format="Dropdown" ma:internalName="ReferenceYear">
      <xsd:simpleType>
        <xsd:restriction base="dms:Choice">
          <xsd:enumeration value="2030"/>
          <xsd:enumeration value="2029"/>
          <xsd:enumeration value="2028"/>
          <xsd:enumeration value="2027"/>
          <xsd:enumeration value="2026"/>
          <xsd:enumeration value="2025"/>
          <xsd:enumeration value="2024"/>
          <xsd:enumeration value="2023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  <xsd:enumeration value="1999"/>
          <xsd:enumeration value="1998"/>
          <xsd:enumeration value="1997"/>
          <xsd:enumeration value="1996"/>
          <xsd:enumeration value="1995"/>
          <xsd:enumeration value="1994"/>
          <xsd:enumeration value="1993"/>
          <xsd:enumeration value="1992"/>
          <xsd:enumeration value="1991"/>
          <xsd:enumeration value="1990"/>
          <xsd:enumeration value="1989"/>
          <xsd:enumeration value="1988"/>
          <xsd:enumeration value="1987"/>
          <xsd:enumeration value="1986"/>
          <xsd:enumeration value="1985"/>
          <xsd:enumeration value="0000"/>
        </xsd:restriction>
      </xsd:simpleType>
    </xsd:element>
    <xsd:element name="Authors" ma:index="5" nillable="true" ma:displayName="Authors" ma:internalName="Authors">
      <xsd:simpleType>
        <xsd:restriction base="dms:Text"/>
      </xsd:simpleType>
    </xsd:element>
    <xsd:element name="ETFLanguage" ma:index="6" nillable="true" ma:displayName="Language" ma:default="English" ma:format="Dropdown" ma:internalName="ETFLanguage">
      <xsd:simpleType>
        <xsd:restriction base="dms:Choice">
          <xsd:enumeration value="English"/>
          <xsd:enumeration value="Italian"/>
          <xsd:enumeration value="French"/>
          <xsd:enumeration value="German"/>
          <xsd:enumeration value="Spanish"/>
          <xsd:enumeration value="Arabic"/>
          <xsd:enumeration value="Russian"/>
          <xsd:enumeration value="Local language"/>
        </xsd:restriction>
      </xsd:simpleType>
    </xsd:element>
    <xsd:element name="ReferenceNumber" ma:index="7" nillable="true" ma:displayName="Reference Number" ma:internalName="ReferenceNumber">
      <xsd:simpleType>
        <xsd:restriction base="dms:Text"/>
      </xsd:simpleType>
    </xsd:element>
    <xsd:element name="Operations_x0020_Keywords" ma:index="8" nillable="true" ma:displayName="Operations Keywords" ma:internalName="Operations_x0020_Keyword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apacity building"/>
                    <xsd:enumeration value="Centres of Vocational Excellence – COVEs"/>
                    <xsd:enumeration value="Dissemination"/>
                    <xsd:enumeration value="Donors cooperation"/>
                    <xsd:enumeration value="Expertise development"/>
                    <xsd:enumeration value="Indicators"/>
                    <xsd:enumeration value="Knowledge management"/>
                    <xsd:enumeration value="Microdata"/>
                    <xsd:enumeration value="Policy advice"/>
                    <xsd:enumeration value="Programming"/>
                    <xsd:enumeration value="Quality for Events"/>
                    <xsd:enumeration value="Regional activities"/>
                    <xsd:enumeration value="Statistics"/>
                    <xsd:enumeration value="Virtual library"/>
                  </xsd:restriction>
                </xsd:simpleType>
              </xsd:element>
            </xsd:sequence>
          </xsd:extension>
        </xsd:complexContent>
      </xsd:complexType>
    </xsd:element>
    <xsd:element name="Origin" ma:index="11" nillable="true" ma:displayName="Origin" ma:hidden="true" ma:internalName="Origin" ma:readOnly="false">
      <xsd:simpleType>
        <xsd:restriction base="dms:Choice">
          <xsd:enumeration value="ETF"/>
          <xsd:enumeration value="External"/>
          <xsd:enumeration value="Commission"/>
        </xsd:restriction>
      </xsd:simpleType>
    </xsd:element>
    <xsd:element name="Status" ma:index="13" nillable="true" ma:displayName="Status" ma:hidden="true" ma:internalName="Status" ma:readOnly="false">
      <xsd:simpleType>
        <xsd:restriction base="dms:Choice">
          <xsd:enumeration value="Draft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C1E765-8429-417B-B864-3E2674CB09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4A8C3-BA58-447C-81C7-3152C7697FC0}">
  <ds:schemaRefs>
    <ds:schemaRef ds:uri="http://schemas.microsoft.com/office/2006/metadata/properties"/>
    <ds:schemaRef ds:uri="http://schemas.microsoft.com/office/infopath/2007/PartnerControls"/>
    <ds:schemaRef ds:uri="bd52c674-9eb6-4ff1-85cb-4fb748e524c9"/>
    <ds:schemaRef ds:uri="df6b2545-d15d-4d63-86ca-644416e434f8"/>
  </ds:schemaRefs>
</ds:datastoreItem>
</file>

<file path=customXml/itemProps3.xml><?xml version="1.0" encoding="utf-8"?>
<ds:datastoreItem xmlns:ds="http://schemas.openxmlformats.org/officeDocument/2006/customXml" ds:itemID="{A4D9C376-C3B8-4234-9A2A-19829A04A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b2545-d15d-4d63-86ca-644416e434f8"/>
    <ds:schemaRef ds:uri="bd52c674-9eb6-4ff1-85cb-4fb748e52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D259D-F9A5-4257-8513-949D6427F00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Agenda_ALMP Dissemination Event 21.04.2021</vt:lpstr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Agenda_ALMP Dissemination Event 21.04.2021</dc:title>
  <dc:subject/>
  <dc:creator>Manuela Prina</dc:creator>
  <cp:keywords/>
  <dc:description/>
  <cp:lastModifiedBy>Alina Codrescu</cp:lastModifiedBy>
  <cp:revision>2</cp:revision>
  <dcterms:created xsi:type="dcterms:W3CDTF">2021-07-01T07:40:00Z</dcterms:created>
  <dcterms:modified xsi:type="dcterms:W3CDTF">2021-07-01T07:40:00Z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0x01010018C77CAB493C4CC28C851D171ACDEB5D00596B2BA2685E0A45A241E5F16505E5C500FD3543D0F7DEA045891C61208AE09783</vt:lpwstr>
  </property>
  <property fmtid="{D5CDD505-2E9C-101B-9397-08002B2CF9AE}" pid="3" name="Area">
    <vt:lpwstr>Operations</vt:lpwstr>
  </property>
  <property fmtid="{D5CDD505-2E9C-101B-9397-08002B2CF9AE}" pid="4" name="_dlc_DocIdItemGuid">
    <vt:lpwstr>a039850b-a5c9-4c42-9b39-f1d73ca76851</vt:lpwstr>
  </property>
</Properties>
</file>