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lang w:val="fr-FR"/>
        </w:rPr>
      </w:pPr>
      <w:r>
        <w:rPr>
          <w:rFonts w:ascii="Arial" w:cs="Arial Unicode MS" w:hAnsi="Arial Unicode MS" w:eastAsia="Arial Unicode MS"/>
          <w:rtl w:val="0"/>
          <w:lang w:val="fr-FR"/>
        </w:rPr>
        <w:t xml:space="preserve">PRIX etf </w:t>
      </w:r>
      <w:r>
        <w:rPr>
          <w:rFonts w:ascii="Arial Unicode MS" w:cs="Arial Unicode MS" w:hAnsi="Arial" w:eastAsia="Arial Unicode MS" w:hint="default"/>
          <w:rtl w:val="0"/>
          <w:lang w:val="fr-FR"/>
        </w:rPr>
        <w:t>« </w:t>
      </w:r>
      <w:r>
        <w:rPr>
          <w:rFonts w:ascii="Arial" w:cs="Arial Unicode MS" w:hAnsi="Arial Unicode MS" w:eastAsia="Arial Unicode MS"/>
          <w:rtl w:val="0"/>
          <w:lang w:val="fr-FR"/>
        </w:rPr>
        <w:t>innovation et compEtences</w:t>
      </w:r>
      <w:r>
        <w:rPr>
          <w:rFonts w:ascii="Arial Unicode MS" w:cs="Arial Unicode MS" w:hAnsi="Arial" w:eastAsia="Arial Unicode MS" w:hint="default"/>
          <w:rtl w:val="0"/>
          <w:lang w:val="fr-FR"/>
        </w:rPr>
        <w:t> »</w:t>
      </w:r>
    </w:p>
    <w:p>
      <w:pPr>
        <w:pStyle w:val="Текстовый блок"/>
        <w:spacing w:after="160"/>
        <w:rPr>
          <w:b w:val="1"/>
          <w:bCs w:val="1"/>
          <w:spacing w:val="15"/>
          <w:sz w:val="56"/>
          <w:szCs w:val="56"/>
          <w:lang w:val="fr-FR"/>
        </w:rPr>
      </w:pPr>
      <w:r>
        <w:rPr>
          <w:b w:val="1"/>
          <w:bCs w:val="1"/>
          <w:spacing w:val="15"/>
          <w:sz w:val="56"/>
          <w:szCs w:val="56"/>
          <w:rtl w:val="0"/>
          <w:lang w:val="fr-FR"/>
        </w:rPr>
        <w:t>Nouveaux apprentissages 2020</w:t>
      </w:r>
    </w:p>
    <w:p>
      <w:pPr>
        <w:pStyle w:val="Текстовый блок"/>
        <w:spacing w:after="160"/>
        <w:rPr>
          <w:lang w:val="fr-FR"/>
        </w:rPr>
      </w:pPr>
    </w:p>
    <w:p>
      <w:pPr>
        <w:pStyle w:val="Текстовый блок"/>
        <w:sectPr>
          <w:headerReference w:type="default" r:id="rId4"/>
          <w:footerReference w:type="default" r:id="rId5"/>
          <w:pgSz w:w="11900" w:h="16840" w:orient="portrait"/>
          <w:pgMar w:top="1134" w:right="1021" w:bottom="1814" w:left="1134" w:header="283" w:footer="340"/>
          <w:bidi w:val="0"/>
        </w:sectPr>
      </w:pPr>
    </w:p>
    <w:p>
      <w:pPr>
        <w:pStyle w:val="Заголовок"/>
        <w:rPr>
          <w:sz w:val="22"/>
          <w:szCs w:val="22"/>
          <w:lang w:val="fr-FR"/>
        </w:rPr>
      </w:pPr>
      <w:r>
        <w:rPr>
          <w:rFonts w:ascii="Arial" w:cs="Arial Unicode MS" w:hAnsi="Arial Unicode MS" w:eastAsia="Arial Unicode MS"/>
          <w:sz w:val="22"/>
          <w:szCs w:val="22"/>
          <w:rtl w:val="0"/>
          <w:lang w:val="fr-FR"/>
        </w:rPr>
        <w:t>DECLARATION DE CONFIDENTIALITE POUR LES CANDIDATS PARTICIPANT a L</w:t>
      </w:r>
      <w:r>
        <w:rPr>
          <w:rFonts w:ascii="Arial Unicode MS" w:cs="Arial Unicode MS" w:hAnsi="Arial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Arial" w:cs="Arial Unicode MS" w:hAnsi="Arial Unicode MS" w:eastAsia="Arial Unicode MS"/>
          <w:sz w:val="22"/>
          <w:szCs w:val="22"/>
          <w:rtl w:val="0"/>
          <w:lang w:val="fr-FR"/>
        </w:rPr>
        <w:t>APPEL de BONNES PRATIQUES</w:t>
      </w:r>
    </w:p>
    <w:p>
      <w:pPr>
        <w:pStyle w:val="Body Text"/>
        <w:jc w:val="right"/>
        <w:rPr>
          <w:b w:val="1"/>
          <w:bCs w:val="1"/>
          <w:caps w:val="1"/>
          <w:color w:val="0092bb"/>
          <w:sz w:val="22"/>
          <w:szCs w:val="22"/>
          <w:u w:color="0092bb"/>
        </w:rPr>
      </w:pPr>
      <w:r>
        <w:rPr>
          <w:b w:val="1"/>
          <w:bCs w:val="1"/>
          <w:caps w:val="1"/>
          <w:color w:val="0092bb"/>
          <w:sz w:val="22"/>
          <w:szCs w:val="22"/>
          <w:u w:color="0092bb"/>
          <w:rtl w:val="0"/>
          <w:lang w:val="fr-FR"/>
        </w:rPr>
        <w:t>DECLARATION DE CONFIDENTIALITE</w:t>
      </w:r>
    </w:p>
    <w:p>
      <w:pPr>
        <w:pStyle w:val="Body Text"/>
        <w:jc w:val="right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In accordance with articles 15 and 16 of Regulation (EU) No. 2018/1725</w:t>
      </w:r>
      <w:r>
        <w:rPr>
          <w:sz w:val="16"/>
          <w:szCs w:val="16"/>
          <w:rtl w:val="0"/>
          <w:lang w:val="en-US"/>
        </w:rPr>
        <w:br w:type="textWrapping"/>
      </w:r>
      <w:r>
        <w:rPr>
          <w:sz w:val="16"/>
          <w:szCs w:val="16"/>
          <w:rtl w:val="0"/>
          <w:lang w:val="en-US"/>
        </w:rPr>
        <w:t>of the European Parliament and of the Council of 23 October 2018</w:t>
      </w:r>
    </w:p>
    <w:p>
      <w:pPr>
        <w:pStyle w:val="Body Text"/>
        <w:jc w:val="right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Issued February 2019</w:t>
      </w:r>
    </w:p>
    <w:p>
      <w:pPr>
        <w:pStyle w:val="Заголовок 2"/>
        <w:rPr>
          <w:b w:val="1"/>
          <w:bCs w:val="1"/>
          <w:sz w:val="16"/>
          <w:szCs w:val="16"/>
        </w:rPr>
      </w:pPr>
      <w:r>
        <w:rPr>
          <w:rFonts w:ascii="Arial" w:cs="Arial Unicode MS" w:hAnsi="Arial Unicode MS" w:eastAsia="Arial Unicode MS"/>
          <w:b w:val="1"/>
          <w:bCs w:val="1"/>
          <w:sz w:val="16"/>
          <w:szCs w:val="16"/>
          <w:rtl w:val="0"/>
          <w:lang w:val="en-US"/>
        </w:rPr>
        <w:t>Key information</w:t>
      </w:r>
    </w:p>
    <w:p>
      <w:pPr>
        <w:pStyle w:val="Заголовок 3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</w:rPr>
        <w:t>Controller</w:t>
      </w:r>
    </w:p>
    <w:p>
      <w:pPr>
        <w:pStyle w:val="Текстовый блок"/>
        <w:spacing w:after="120"/>
        <w:rPr>
          <w:color w:val="616264"/>
          <w:sz w:val="16"/>
          <w:szCs w:val="16"/>
          <w:u w:color="616264"/>
        </w:rPr>
      </w:pPr>
      <w:r>
        <w:rPr>
          <w:color w:val="616264"/>
          <w:sz w:val="16"/>
          <w:szCs w:val="16"/>
          <w:u w:color="616264"/>
          <w:rtl w:val="0"/>
          <w:lang w:val="en-US"/>
        </w:rPr>
        <w:t xml:space="preserve">Cesare Onestini, Director of the ETF, </w:t>
      </w:r>
      <w:hyperlink r:id="rId6" w:history="1">
        <w:r>
          <w:rPr>
            <w:rStyle w:val="Hyperlink.0"/>
            <w:sz w:val="16"/>
            <w:szCs w:val="16"/>
            <w:rtl w:val="0"/>
          </w:rPr>
          <w:t>Cesare.Onestini@etf.europa.eu</w:t>
        </w:r>
      </w:hyperlink>
      <w:r>
        <w:rPr>
          <w:color w:val="616264"/>
          <w:sz w:val="16"/>
          <w:szCs w:val="16"/>
          <w:u w:color="616264"/>
          <w:rtl w:val="0"/>
        </w:rPr>
        <w:t xml:space="preserve"> </w:t>
      </w:r>
    </w:p>
    <w:p>
      <w:pPr>
        <w:pStyle w:val="Заголовок 3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Business owner </w:t>
      </w:r>
    </w:p>
    <w:p>
      <w:pPr>
        <w:pStyle w:val="Текстовый блок"/>
        <w:spacing w:after="120"/>
        <w:rPr>
          <w:color w:val="616264"/>
          <w:sz w:val="16"/>
          <w:szCs w:val="16"/>
          <w:u w:color="616264"/>
        </w:rPr>
      </w:pPr>
      <w:r>
        <w:rPr>
          <w:color w:val="616264"/>
          <w:sz w:val="16"/>
          <w:szCs w:val="16"/>
          <w:u w:color="616264"/>
          <w:rtl w:val="0"/>
          <w:lang w:val="en-US"/>
        </w:rPr>
        <w:t>Xavier Matheu de Cortada, Head of Policy Unit, Operations Department, ETF</w:t>
      </w:r>
    </w:p>
    <w:p>
      <w:pPr>
        <w:pStyle w:val="Заголовок 3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Data protection officer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Tiziana Ciccarone / Laurens Rijken, </w:t>
      </w:r>
      <w:hyperlink r:id="rId7" w:history="1">
        <w:r>
          <w:rPr>
            <w:rStyle w:val="Hyperlink.1"/>
            <w:rFonts w:ascii="Arial" w:cs="Arial Unicode MS" w:hAnsi="Arial Unicode MS" w:eastAsia="Arial Unicode MS"/>
            <w:sz w:val="16"/>
            <w:szCs w:val="16"/>
            <w:rtl w:val="0"/>
            <w:lang w:val="en-US"/>
          </w:rPr>
          <w:t>DataProtectionOfficer@etf.europa.eu</w:t>
        </w:r>
      </w:hyperlink>
    </w:p>
    <w:p>
      <w:pPr>
        <w:pStyle w:val="Заголовок 3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Purpose of the processing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The purposes of processing are (1) logistics and administrative management of the call, (2) sharing the data of the two nominees both on paper publications and on a public web platform, and (3) sharing the data of the award-winning applicant on paper publications and on a public web platform.</w:t>
      </w:r>
    </w:p>
    <w:p>
      <w:pPr>
        <w:pStyle w:val="Заголовок 3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</w:rPr>
        <w:t>Legal basis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The legal basis for the processing operations of personal data is ETF</w:t>
      </w:r>
      <w:r>
        <w:rPr>
          <w:rFonts w:ascii="Arial Unicode MS" w:cs="Arial Unicode MS" w:hAnsi="Arial" w:eastAsia="Arial Unicode MS" w:hint="default"/>
          <w:sz w:val="16"/>
          <w:szCs w:val="16"/>
          <w:rtl w:val="0"/>
          <w:lang w:val="en-US"/>
        </w:rPr>
        <w:t>’</w:t>
      </w: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s mandate, article 1. Objective and scope, (b), article 2, functions, (f).</w:t>
      </w:r>
    </w:p>
    <w:p>
      <w:pPr>
        <w:pStyle w:val="Заголовок 3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pt-PT"/>
        </w:rPr>
        <w:t>Personal data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Personal data concerned are: </w:t>
      </w:r>
    </w:p>
    <w:p>
      <w:pPr>
        <w:pStyle w:val="List Bullet"/>
        <w:numPr>
          <w:ilvl w:val="0"/>
          <w:numId w:val="3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Name and contact details (address, Email, telephone) of the person representing the participating vocational school or training centre, and the person representing the accompanying policy maker</w:t>
      </w:r>
    </w:p>
    <w:p>
      <w:pPr>
        <w:pStyle w:val="List Bullet"/>
        <w:numPr>
          <w:ilvl w:val="0"/>
          <w:numId w:val="4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The data is provided in the application form.</w:t>
      </w:r>
    </w:p>
    <w:p>
      <w:pPr>
        <w:pStyle w:val="List Bullet"/>
        <w:numPr>
          <w:ilvl w:val="0"/>
          <w:numId w:val="5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Provision of this data is on a voluntary basis. In the absence of this data, the general contact data of the training provider is used in the call.</w:t>
      </w:r>
    </w:p>
    <w:p>
      <w:pPr>
        <w:pStyle w:val="Заголовок 3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Recipients of the personal data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For the purpose detailed above, access to personal data is provided to the following processing entities: 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For all applicants:</w:t>
      </w:r>
    </w:p>
    <w:p>
      <w:pPr>
        <w:pStyle w:val="List Bullet"/>
        <w:numPr>
          <w:ilvl w:val="0"/>
          <w:numId w:val="6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The ETF team managing the call and one external reviewer administering the call on a need-to-know basis</w:t>
      </w:r>
    </w:p>
    <w:p>
      <w:pPr>
        <w:pStyle w:val="List Bullet"/>
        <w:numPr>
          <w:ilvl w:val="0"/>
          <w:numId w:val="7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All members of the ETF good practice platform</w:t>
      </w:r>
    </w:p>
    <w:p>
      <w:pPr>
        <w:pStyle w:val="Body Text"/>
        <w:spacing w:before="120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For the two selected nominees:</w:t>
      </w:r>
    </w:p>
    <w:p>
      <w:pPr>
        <w:pStyle w:val="List Bullet"/>
        <w:numPr>
          <w:ilvl w:val="0"/>
          <w:numId w:val="8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All public that access the website of the EU vocational skills week website</w:t>
      </w:r>
    </w:p>
    <w:p>
      <w:pPr>
        <w:pStyle w:val="List Bullet"/>
        <w:numPr>
          <w:ilvl w:val="0"/>
          <w:numId w:val="9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The European Commission as organiser of the EU Vocational Skills Week 2018</w:t>
      </w:r>
    </w:p>
    <w:p>
      <w:pPr>
        <w:pStyle w:val="Body Text"/>
        <w:spacing w:before="120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For the final ETF award winner:</w:t>
      </w:r>
    </w:p>
    <w:p>
      <w:pPr>
        <w:pStyle w:val="List Bullet"/>
        <w:numPr>
          <w:ilvl w:val="0"/>
          <w:numId w:val="10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All public that receives a copy of the good practice information note</w:t>
      </w:r>
    </w:p>
    <w:p>
      <w:pPr>
        <w:pStyle w:val="List Bullet"/>
        <w:numPr>
          <w:ilvl w:val="0"/>
          <w:numId w:val="11"/>
        </w:numPr>
        <w:tabs>
          <w:tab w:val="num" w:pos="496"/>
          <w:tab w:val="clear" w:pos="397"/>
        </w:tabs>
        <w:ind w:left="496" w:hanging="496"/>
        <w:rPr>
          <w:position w:val="0"/>
          <w:sz w:val="20"/>
          <w:szCs w:val="20"/>
        </w:rPr>
      </w:pPr>
      <w:r>
        <w:rPr>
          <w:sz w:val="16"/>
          <w:szCs w:val="16"/>
          <w:rtl w:val="0"/>
          <w:lang w:val="en-US"/>
        </w:rPr>
        <w:t>All public that access the website of the EU vocational skills week</w:t>
      </w:r>
    </w:p>
    <w:p>
      <w:pPr>
        <w:pStyle w:val="Body Text"/>
        <w:spacing w:before="120"/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The ETF will not divulge personal data for direct marketing or commercial purposes.</w:t>
      </w:r>
    </w:p>
    <w:p>
      <w:pPr>
        <w:pStyle w:val="Заголовок 2"/>
        <w:rPr>
          <w:b w:val="1"/>
          <w:bCs w:val="1"/>
          <w:sz w:val="16"/>
          <w:szCs w:val="16"/>
        </w:rPr>
      </w:pPr>
      <w:r>
        <w:rPr>
          <w:rFonts w:ascii="Arial" w:cs="Arial Unicode MS" w:hAnsi="Arial Unicode MS" w:eastAsia="Arial Unicode MS"/>
          <w:b w:val="1"/>
          <w:bCs w:val="1"/>
          <w:sz w:val="16"/>
          <w:szCs w:val="16"/>
          <w:rtl w:val="0"/>
          <w:lang w:val="en-US"/>
        </w:rPr>
        <w:t>Further information</w:t>
      </w:r>
    </w:p>
    <w:p>
      <w:pPr>
        <w:pStyle w:val="Заголовок 3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fr-FR"/>
        </w:rPr>
        <w:t>Data retention</w:t>
      </w:r>
    </w:p>
    <w:p>
      <w:pPr>
        <w:pStyle w:val="Body Text"/>
        <w:rPr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Data collected will be retained for 2 years following the completion of the call and the publication of the good practice on the ETF Good Practice Platform.</w:t>
      </w:r>
    </w:p>
    <w:p>
      <w:pPr>
        <w:pStyle w:val="Заголовок 3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Right of access, rectification or erasure, restriction, objection</w:t>
      </w:r>
    </w:p>
    <w:p>
      <w:pPr>
        <w:pStyle w:val="Body Text"/>
        <w:rPr>
          <w:i w:val="1"/>
          <w:iCs w:val="1"/>
          <w:sz w:val="16"/>
          <w:szCs w:val="16"/>
          <w:lang w:val="en-US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 xml:space="preserve">Any request to access, rectify, block or erase personal data shall be addressed in writing to Mr. Xavier Matheu de Cortada, Head of Policy Unit, Operations Department, ETF: </w:t>
      </w:r>
      <w:hyperlink r:id="rId8" w:history="1">
        <w:r>
          <w:rPr>
            <w:rStyle w:val="Hyperlink.1"/>
            <w:rFonts w:ascii="Arial" w:cs="Arial Unicode MS" w:hAnsi="Arial Unicode MS" w:eastAsia="Arial Unicode MS"/>
            <w:sz w:val="16"/>
            <w:szCs w:val="16"/>
            <w:rtl w:val="0"/>
            <w:lang w:val="en-US"/>
          </w:rPr>
          <w:t>Xavier.Matheu-de-Cortada@etf.europa.eu</w:t>
        </w:r>
      </w:hyperlink>
    </w:p>
    <w:p>
      <w:pPr>
        <w:pStyle w:val="Заголовок 3"/>
        <w:rPr>
          <w:sz w:val="16"/>
          <w:szCs w:val="16"/>
        </w:rPr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Right to lodge complaint</w:t>
      </w:r>
    </w:p>
    <w:p>
      <w:pPr>
        <w:pStyle w:val="Body Text"/>
      </w:pPr>
      <w:r>
        <w:rPr>
          <w:rFonts w:ascii="Arial" w:cs="Arial Unicode MS" w:hAnsi="Arial Unicode MS" w:eastAsia="Arial Unicode MS"/>
          <w:sz w:val="16"/>
          <w:szCs w:val="16"/>
          <w:rtl w:val="0"/>
          <w:lang w:val="en-US"/>
        </w:rPr>
        <w:t>Data subjects can at any time lodge a complaint on the processing of their personal data to the ETF Data Protection Officer (DataProtectionOfficer@etf.europa.eu) or to the European Data Protection Supervisor (http://www.edps.europa.eu).</w:t>
      </w:r>
    </w:p>
    <w:sectPr>
      <w:headerReference w:type="default" r:id="rId9"/>
      <w:footerReference w:type="default" r:id="rId10"/>
      <w:pgSz w:w="11900" w:h="16840" w:orient="portrait"/>
      <w:pgMar w:top="1338" w:right="1021" w:bottom="1814" w:left="1814" w:header="283" w:footer="3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left"/>
    </w:pPr>
  </w:p>
  <w:p>
    <w:pPr>
      <w:pStyle w:val="footer"/>
      <w:jc w:val="left"/>
    </w:pPr>
  </w:p>
  <w:p>
    <w:pPr>
      <w:pStyle w:val="footer"/>
      <w:jc w:val="left"/>
    </w:pPr>
  </w:p>
  <w:p>
    <w:pPr>
      <w:pStyle w:val="footer"/>
      <w:jc w:val="left"/>
    </w:pPr>
  </w:p>
  <w:p>
    <w:pPr>
      <w:pStyle w:val="footer"/>
      <w:tabs>
        <w:tab w:val="left" w:pos="3790"/>
      </w:tabs>
      <w:jc w:val="left"/>
      <w:rPr>
        <w:rtl w:val="0"/>
      </w:rPr>
    </w:pPr>
    <w:r>
      <w:rPr>
        <w:rtl w:val="0"/>
      </w:rPr>
      <w:tab/>
    </w:r>
  </w:p>
  <w:p>
    <w:pPr>
      <w:pStyle w:val="footer"/>
      <w:tabs>
        <w:tab w:val="left" w:pos="3790"/>
      </w:tabs>
      <w:jc w:val="left"/>
      <w:rPr>
        <w:rtl w:val="0"/>
      </w:rPr>
    </w:pPr>
    <w:r>
      <w:rPr>
        <w:rtl w:val="0"/>
      </w:rPr>
      <w:tab/>
    </w:r>
  </w:p>
  <w:p>
    <w:pPr>
      <w:pStyle w:val="footer"/>
      <w:jc w:val="left"/>
      <w:rPr>
        <w:rtl w:val="0"/>
      </w:rPr>
    </w:pPr>
  </w:p>
  <w:p>
    <w:pPr>
      <w:pStyle w:val="footer"/>
      <w:jc w:val="left"/>
      <w:rPr>
        <w:rtl w:val="0"/>
      </w:rPr>
    </w:pPr>
  </w:p>
  <w:p>
    <w:pPr>
      <w:pStyle w:val="footer"/>
      <w:jc w:val="left"/>
    </w:pPr>
    <w:r>
      <w:rPr>
        <w:rtl w:val="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widowControl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color w:val="ffffff"/>
        <w:sz w:val="18"/>
        <w:szCs w:val="18"/>
        <w:u w:color="ffffff"/>
      </w:rPr>
    </w:pP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-321598</wp:posOffset>
          </wp:positionV>
          <wp:extent cx="7560000" cy="108511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511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514350</wp:posOffset>
          </wp:positionV>
          <wp:extent cx="1624965" cy="1019175"/>
          <wp:effectExtent l="0" t="0" r="0" b="0"/>
          <wp:wrapNone/>
          <wp:docPr id="1073741826" name="officeArt object" descr="C:\Users\Article10\Documents\ETF\Header 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C:\Users\Article10\Documents\ETF\Header image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252095</wp:posOffset>
          </wp:positionH>
          <wp:positionV relativeFrom="page">
            <wp:posOffset>8900957</wp:posOffset>
          </wp:positionV>
          <wp:extent cx="1879200" cy="1285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28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ffff"/>
        <w:sz w:val="18"/>
        <w:szCs w:val="18"/>
        <w:u w:color="ffffff"/>
      </w:rPr>
      <mc:AlternateContent>
        <mc:Choice Requires="wpg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1946787</wp:posOffset>
              </wp:positionH>
              <wp:positionV relativeFrom="page">
                <wp:posOffset>10287552</wp:posOffset>
              </wp:positionV>
              <wp:extent cx="1725561" cy="1253614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5561" cy="1253614"/>
                        <a:chOff x="0" y="0"/>
                        <a:chExt cx="1725560" cy="1253613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-1"/>
                          <a:ext cx="1725561" cy="1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0" y="-1"/>
                          <a:ext cx="1725561" cy="12536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53.3pt;margin-top:810.0pt;width:135.9pt;height:98.7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725561,1253613">
              <w10:wrap type="none" side="bothSides" anchorx="page" anchory="page"/>
              <v:rect id="_x0000_s1027" style="position:absolute;left:0;top:0;width:1725561;height:1253613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1725561;height:1253613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  <w:rPr>
        <w:color w:val="ffffff"/>
        <w:sz w:val="18"/>
        <w:szCs w:val="18"/>
        <w:u w:color="ffffff"/>
      </w:rPr>
    </w:pPr>
  </w:p>
  <w:p>
    <w:pPr>
      <w:pStyle w:val="header"/>
    </w:pPr>
    <w:r>
      <w:rPr>
        <w:color w:val="ffffff"/>
        <w:sz w:val="18"/>
        <w:szCs w:val="18"/>
        <w:u w:color="ffffff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9058910</wp:posOffset>
              </wp:positionV>
              <wp:extent cx="5760085" cy="504191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85" cy="504191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071" w:type="dxa"/>
                            <w:tblInd w:w="10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3402"/>
                            <w:gridCol w:w="5669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807" w:hRule="atLeast"/>
                            </w:trPr>
                            <w:tc>
                              <w:tcPr>
                                <w:tcW w:type="dxa" w:w="3402"/>
                                <w:tcBorders>
                                  <w:top w:val="single" w:color="43545e" w:sz="12" w:space="0" w:shadow="0" w:frame="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bottom"/>
                              </w:tcPr>
                              <w:p>
                                <w:pPr>
                                  <w:pStyle w:val="footer"/>
                                  <w:jc w:val="left"/>
                                </w:pP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616264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616264"/>
                                    <w:vertAlign w:val="baseline"/>
                                    <w:rtl w:val="0"/>
                                  </w:rPr>
                                  <w:drawing>
                                    <wp:inline distT="0" distB="0" distL="0" distR="0">
                                      <wp:extent cx="728981" cy="457200"/>
                                      <wp:effectExtent l="0" t="0" r="0" b="0"/>
                                      <wp:docPr id="107374183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32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28981" cy="457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ffffff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ffffff"/>
                                    <w:vertAlign w:val="baseline"/>
                                    <w:rtl w:val="0"/>
                                    <w:lang w:val="en-US"/>
                                  </w:rPr>
                                  <w:t xml:space="preserve">       </w:t>
                                </w:r>
                                <w:r>
                                  <w:rPr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616264"/>
                                    <w:spacing w:val="0"/>
                                    <w:kern w:val="0"/>
                                    <w:position w:val="0"/>
                                    <w:sz w:val="20"/>
                                    <w:szCs w:val="20"/>
                                    <w:u w:val="none" w:color="616264"/>
                                    <w:vertAlign w:val="baseline"/>
                                    <w:rtl w:val="0"/>
                                  </w:rPr>
                                  <w:drawing>
                                    <wp:inline distT="0" distB="0" distL="0" distR="0">
                                      <wp:extent cx="533912" cy="473281"/>
                                      <wp:effectExtent l="0" t="0" r="0" b="0"/>
                                      <wp:docPr id="1073741833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33" name="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33912" cy="4732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type="dxa" w:w="5669"/>
                                <w:tcBorders>
                                  <w:top w:val="single" w:color="43545e" w:sz="12" w:space="0" w:shadow="0" w:frame="0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center"/>
                              </w:tcPr>
                              <w:p>
                                <w:pPr>
                                  <w:pStyle w:val="Footer Text"/>
                                </w:pPr>
                                <w:r>
                                  <w:rPr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</w:rPr>
                                  <w:t xml:space="preserve">PRIX etf </w:t>
                                </w:r>
                                <w:r>
                                  <w:rPr>
                                    <w:rFonts w:hAnsi="Arial" w:hint="default"/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« </w:t>
                                </w:r>
                                <w:r>
                                  <w:rPr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innovation et compEtences </w:t>
                                </w:r>
                                <w:r>
                                  <w:rPr>
                                    <w:rFonts w:hAnsi="Arial" w:hint="default"/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  <w:lang w:val="fr-FR"/>
                                  </w:rPr>
                                  <w:t>»</w:t>
                                </w:r>
                                <w:r>
                                  <w:rPr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| </w:t>
                                </w:r>
                                <w:r>
                                  <w:rPr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  <w:lang w:val="fr-FR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  <w:lang w:val="fr-FR"/>
                                  </w:rPr>
                                  <w:t xml:space="preserve"> PAGE </w:t>
                                </w:r>
                                <w:r>
                                  <w:rPr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  <w:lang w:val="fr-FR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  <w:lang w:val="fr-FR"/>
                                  </w:rPr>
                                  <w:t>1</w:t>
                                </w:r>
                                <w:r>
                                  <w:rPr>
                                    <w:caps w:val="1"/>
                                    <w:strike w:val="0"/>
                                    <w:dstrike w:val="0"/>
                                    <w:outline w:val="0"/>
                                    <w:color w:val="0092bb"/>
                                    <w:spacing w:val="0"/>
                                    <w:kern w:val="0"/>
                                    <w:position w:val="0"/>
                                    <w:sz w:val="18"/>
                                    <w:szCs w:val="18"/>
                                    <w:u w:val="none" w:color="0092bb"/>
                                    <w:vertAlign w:val="baseline"/>
                                    <w:rtl w:val="0"/>
                                    <w:lang w:val="fr-FR"/>
                                  </w:rPr>
                                  <w:fldChar w:fldCharType="end" w:fldLock="0"/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56.7pt;margin-top:713.3pt;width:453.5pt;height:39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9071" w:type="dxa"/>
                      <w:tblInd w:w="10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3402"/>
                      <w:gridCol w:w="5669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807" w:hRule="atLeast"/>
                      </w:trPr>
                      <w:tc>
                        <w:tcPr>
                          <w:tcW w:type="dxa" w:w="3402"/>
                          <w:tcBorders>
                            <w:top w:val="single" w:color="43545e" w:sz="12" w:space="0" w:shadow="0" w:frame="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bottom"/>
                        </w:tcPr>
                        <w:p>
                          <w:pPr>
                            <w:pStyle w:val="footer"/>
                            <w:jc w:val="left"/>
                          </w:pP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616264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616264"/>
                              <w:vertAlign w:val="baseline"/>
                              <w:rtl w:val="0"/>
                            </w:rPr>
                            <w:drawing>
                              <wp:inline distT="0" distB="0" distL="0" distR="0">
                                <wp:extent cx="728981" cy="457200"/>
                                <wp:effectExtent l="0" t="0" r="0" b="0"/>
                                <wp:docPr id="107374183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3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981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aps w:val="1"/>
                              <w:strike w:val="0"/>
                              <w:dstrike w:val="0"/>
                              <w:outline w:val="0"/>
                              <w:color w:val="ffffff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ffffff"/>
                              <w:vertAlign w:val="baseline"/>
                              <w:rtl w:val="0"/>
                              <w:lang w:val="en-US"/>
                            </w:rPr>
                            <w:t xml:space="preserve">       </w:t>
                          </w:r>
                          <w:r>
                            <w:rPr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616264"/>
                              <w:spacing w:val="0"/>
                              <w:kern w:val="0"/>
                              <w:position w:val="0"/>
                              <w:sz w:val="20"/>
                              <w:szCs w:val="20"/>
                              <w:u w:val="none" w:color="616264"/>
                              <w:vertAlign w:val="baseline"/>
                              <w:rtl w:val="0"/>
                            </w:rPr>
                            <w:drawing>
                              <wp:inline distT="0" distB="0" distL="0" distR="0">
                                <wp:extent cx="533912" cy="473281"/>
                                <wp:effectExtent l="0" t="0" r="0" b="0"/>
                                <wp:docPr id="1073741833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33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912" cy="473281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type="dxa" w:w="5669"/>
                          <w:tcBorders>
                            <w:top w:val="single" w:color="43545e" w:sz="12" w:space="0" w:shadow="0" w:frame="0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center"/>
                        </w:tcPr>
                        <w:p>
                          <w:pPr>
                            <w:pStyle w:val="Footer Text"/>
                          </w:pPr>
                          <w:r>
                            <w:rPr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</w:rPr>
                            <w:t xml:space="preserve">PRIX etf </w:t>
                          </w:r>
                          <w:r>
                            <w:rPr>
                              <w:rFonts w:hAnsi="Arial" w:hint="default"/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  <w:lang w:val="fr-FR"/>
                            </w:rPr>
                            <w:t xml:space="preserve">« </w:t>
                          </w:r>
                          <w:r>
                            <w:rPr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  <w:lang w:val="fr-FR"/>
                            </w:rPr>
                            <w:t xml:space="preserve">innovation et compEtences </w:t>
                          </w:r>
                          <w:r>
                            <w:rPr>
                              <w:rFonts w:hAnsi="Arial" w:hint="default"/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  <w:lang w:val="fr-FR"/>
                            </w:rPr>
                            <w:t>»</w:t>
                          </w:r>
                          <w:r>
                            <w:rPr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  <w:lang w:val="fr-FR"/>
                            </w:rPr>
                            <w:t xml:space="preserve">| </w:t>
                          </w:r>
                          <w:r>
                            <w:rPr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  <w:lang w:val="fr-FR"/>
                            </w:rPr>
                            <w:fldChar w:fldCharType="begin" w:fldLock="0"/>
                          </w:r>
                          <w:r>
                            <w:rPr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  <w:lang w:val="fr-FR"/>
                            </w:rPr>
                            <w:t xml:space="preserve"> PAGE </w:t>
                          </w:r>
                          <w:r>
                            <w:rPr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  <w:lang w:val="fr-FR"/>
                            </w:rPr>
                            <w:fldChar w:fldCharType="separate" w:fldLock="0"/>
                          </w:r>
                          <w:r>
                            <w:rPr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  <w:lang w:val="fr-FR"/>
                            </w:rPr>
                            <w:t>1</w:t>
                          </w:r>
                          <w:r>
                            <w:rPr>
                              <w:caps w:val="1"/>
                              <w:strike w:val="0"/>
                              <w:dstrike w:val="0"/>
                              <w:outline w:val="0"/>
                              <w:color w:val="0092bb"/>
                              <w:spacing w:val="0"/>
                              <w:kern w:val="0"/>
                              <w:position w:val="0"/>
                              <w:sz w:val="18"/>
                              <w:szCs w:val="18"/>
                              <w:u w:val="none" w:color="0092bb"/>
                              <w:vertAlign w:val="baseline"/>
                              <w:rtl w:val="0"/>
                              <w:lang w:val="fr-FR"/>
                            </w:rPr>
                            <w:fldChar w:fldCharType="end" w:fldLock="0"/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16"/>
        <w:szCs w:val="16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■"/>
      <w:lvlJc w:val="left"/>
      <w:pPr/>
      <w:rPr>
        <w:color w:val="0092bb"/>
        <w:position w:val="0"/>
      </w:rPr>
    </w:lvl>
    <w:lvl w:ilvl="1">
      <w:start w:val="1"/>
      <w:numFmt w:val="bullet"/>
      <w:suff w:val="tab"/>
      <w:lvlText w:val="•"/>
      <w:lvlJc w:val="left"/>
      <w:pPr/>
      <w:rPr>
        <w:color w:val="0092bb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-1"/>
          <w:tab w:val="clear" w:pos="0"/>
        </w:tabs>
        <w:ind w:left="-1"/>
      </w:pPr>
      <w:rPr>
        <w:color w:val="0092bb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■"/>
      <w:lvlJc w:val="left"/>
      <w:pPr>
        <w:tabs>
          <w:tab w:val="num" w:pos="397"/>
          <w:tab w:val="clear" w:pos="0"/>
        </w:tabs>
        <w:ind w:left="397" w:hanging="397"/>
      </w:pPr>
      <w:rPr>
        <w:color w:val="0092bb"/>
        <w:position w:val="0"/>
        <w:sz w:val="20"/>
        <w:szCs w:val="2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715"/>
          <w:tab w:val="clear" w:pos="0"/>
        </w:tabs>
        <w:ind w:left="715" w:hanging="318"/>
      </w:pPr>
      <w:rPr>
        <w:color w:val="0092bb"/>
        <w:position w:val="0"/>
        <w:sz w:val="16"/>
        <w:szCs w:val="16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350"/>
          <w:tab w:val="clear" w:pos="0"/>
        </w:tabs>
        <w:ind w:left="1032" w:hanging="318"/>
      </w:pPr>
      <w:rPr>
        <w:color w:val="0092bb"/>
        <w:position w:val="0"/>
        <w:sz w:val="16"/>
        <w:szCs w:val="16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985"/>
          <w:tab w:val="clear" w:pos="0"/>
        </w:tabs>
        <w:ind w:left="1350" w:hanging="318"/>
      </w:pPr>
      <w:rPr>
        <w:color w:val="0092bb"/>
        <w:position w:val="0"/>
        <w:sz w:val="16"/>
        <w:szCs w:val="16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2620"/>
          <w:tab w:val="clear" w:pos="0"/>
        </w:tabs>
        <w:ind w:left="1667" w:hanging="318"/>
      </w:pPr>
      <w:rPr>
        <w:color w:val="0092bb"/>
        <w:position w:val="0"/>
        <w:sz w:val="16"/>
        <w:szCs w:val="16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3255"/>
          <w:tab w:val="clear" w:pos="0"/>
        </w:tabs>
        <w:ind w:left="1985" w:hanging="318"/>
      </w:pPr>
      <w:rPr>
        <w:color w:val="0092bb"/>
        <w:position w:val="0"/>
        <w:sz w:val="16"/>
        <w:szCs w:val="16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3891"/>
          <w:tab w:val="clear" w:pos="0"/>
        </w:tabs>
        <w:ind w:left="2303" w:hanging="318"/>
      </w:pPr>
      <w:rPr>
        <w:color w:val="0092bb"/>
        <w:position w:val="0"/>
        <w:sz w:val="16"/>
        <w:szCs w:val="16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4526"/>
          <w:tab w:val="clear" w:pos="0"/>
        </w:tabs>
        <w:ind w:left="2620" w:hanging="318"/>
      </w:pPr>
      <w:rPr>
        <w:color w:val="0092bb"/>
        <w:position w:val="0"/>
        <w:sz w:val="16"/>
        <w:szCs w:val="16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5161"/>
          <w:tab w:val="clear" w:pos="0"/>
        </w:tabs>
        <w:ind w:left="2938" w:hanging="318"/>
      </w:pPr>
      <w:rPr>
        <w:color w:val="0092bb"/>
        <w:position w:val="0"/>
        <w:sz w:val="16"/>
        <w:szCs w:val="16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ffffff"/>
      <w:spacing w:val="0"/>
      <w:kern w:val="0"/>
      <w:position w:val="0"/>
      <w:sz w:val="22"/>
      <w:szCs w:val="22"/>
      <w:u w:val="none" w:color="ffffff"/>
      <w:vertAlign w:val="baseline"/>
      <w:lang w:val="en-US"/>
    </w:rPr>
  </w:style>
  <w:style w:type="paragraph" w:styleId="Title">
    <w:name w:val="Title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96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92bb"/>
      <w:spacing w:val="-40"/>
      <w:kern w:val="0"/>
      <w:position w:val="0"/>
      <w:sz w:val="86"/>
      <w:szCs w:val="86"/>
      <w:u w:val="none" w:color="0092bb"/>
      <w:vertAlign w:val="baseline"/>
      <w:lang w:val="en-US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  <w:lang w:val="en-US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 Text">
    <w:name w:val="Footer Text"/>
    <w:next w:val="Footer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1"/>
      <w:strike w:val="0"/>
      <w:dstrike w:val="0"/>
      <w:outline w:val="0"/>
      <w:color w:val="0092bb"/>
      <w:spacing w:val="0"/>
      <w:kern w:val="0"/>
      <w:position w:val="0"/>
      <w:sz w:val="18"/>
      <w:szCs w:val="18"/>
      <w:u w:val="none" w:color="0092bb"/>
      <w:vertAlign w:val="baseline"/>
      <w:lang w:val="en-US"/>
    </w:rPr>
  </w:style>
  <w:style w:type="paragraph" w:styleId="Заголовок">
    <w:name w:val="Заголовок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360" w:line="240" w:lineRule="auto"/>
      <w:ind w:left="0" w:right="0" w:firstLine="0"/>
      <w:jc w:val="left"/>
      <w:outlineLvl w:val="0"/>
    </w:pPr>
    <w:rPr>
      <w:rFonts w:ascii="Arial" w:cs="Arial Unicode MS" w:hAnsi="Arial Unicode MS" w:eastAsia="Arial Unicode MS"/>
      <w:b w:val="1"/>
      <w:bCs w:val="1"/>
      <w:i w:val="0"/>
      <w:iCs w:val="0"/>
      <w:caps w:val="1"/>
      <w:strike w:val="0"/>
      <w:dstrike w:val="0"/>
      <w:outline w:val="0"/>
      <w:color w:val="0092bb"/>
      <w:spacing w:val="0"/>
      <w:kern w:val="0"/>
      <w:position w:val="0"/>
      <w:sz w:val="36"/>
      <w:szCs w:val="36"/>
      <w:u w:val="none" w:color="0092bb"/>
      <w:vertAlign w:val="baseline"/>
      <w:lang w:val="fr-FR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  <w:lang w:val="fr-FR"/>
    </w:rPr>
  </w:style>
  <w:style w:type="paragraph" w:styleId="Заголовок 2">
    <w:name w:val="Заголовок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92bb"/>
      <w:spacing w:val="0"/>
      <w:kern w:val="0"/>
      <w:position w:val="0"/>
      <w:sz w:val="28"/>
      <w:szCs w:val="28"/>
      <w:u w:val="none" w:color="0092bb"/>
      <w:vertAlign w:val="baseline"/>
      <w:lang w:val="en-US"/>
    </w:rPr>
  </w:style>
  <w:style w:type="paragraph" w:styleId="Заголовок 3">
    <w:name w:val="Заголовок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2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92bb"/>
      <w:spacing w:val="0"/>
      <w:kern w:val="0"/>
      <w:position w:val="0"/>
      <w:sz w:val="24"/>
      <w:szCs w:val="24"/>
      <w:u w:val="none" w:color="0092bb"/>
      <w:vertAlign w:val="baseline"/>
    </w:rPr>
  </w:style>
  <w:style w:type="character" w:styleId="Ссылка">
    <w:name w:val="Ссылка"/>
    <w:rPr>
      <w:color w:val="dc006b"/>
      <w:u w:val="single" w:color="dc006b"/>
    </w:rPr>
  </w:style>
  <w:style w:type="character" w:styleId="Hyperlink.0">
    <w:name w:val="Hyperlink.0"/>
    <w:basedOn w:val="Ссылка"/>
    <w:next w:val="Hyperlink.0"/>
    <w:rPr>
      <w:sz w:val="16"/>
      <w:szCs w:val="16"/>
    </w:rPr>
  </w:style>
  <w:style w:type="character" w:styleId="Hyperlink.1">
    <w:name w:val="Hyperlink.1"/>
    <w:basedOn w:val="Ссылка"/>
    <w:next w:val="Hyperlink.1"/>
    <w:rPr>
      <w:sz w:val="16"/>
      <w:szCs w:val="16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397" w:right="0" w:hanging="397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16264"/>
      <w:spacing w:val="0"/>
      <w:kern w:val="0"/>
      <w:position w:val="0"/>
      <w:sz w:val="20"/>
      <w:szCs w:val="20"/>
      <w:u w:val="none" w:color="616264"/>
      <w:vertAlign w:val="baseline"/>
      <w:lang w:val="en-US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Cesare.Onestini@etf.europa.eu" TargetMode="External"/><Relationship Id="rId7" Type="http://schemas.openxmlformats.org/officeDocument/2006/relationships/hyperlink" Target="mailto:DataProtectionOfficer@etf.europa.eu" TargetMode="External"/><Relationship Id="rId8" Type="http://schemas.openxmlformats.org/officeDocument/2006/relationships/hyperlink" Target="mailto:Xavier.Matheu-de-Cortada@etf.europa.eu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616264"/>
            </a:solidFill>
            <a:effectLst/>
            <a:uFill>
              <a:solidFill>
                <a:srgbClr val="616264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