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F66E5" w14:textId="77777777" w:rsidR="00186BBC" w:rsidRDefault="00186BBC">
      <w:pPr>
        <w:rPr>
          <w:b/>
          <w:color w:val="0000FF"/>
          <w:sz w:val="28"/>
          <w:szCs w:val="28"/>
        </w:rPr>
      </w:pPr>
      <w:r w:rsidRPr="0039657B">
        <w:rPr>
          <w:noProof/>
          <w:color w:val="FFFFFF" w:themeColor="background1"/>
          <w:sz w:val="18"/>
          <w:szCs w:val="18"/>
          <w:lang w:val="en-GB" w:eastAsia="en-GB"/>
        </w:rPr>
        <w:drawing>
          <wp:anchor distT="0" distB="540385" distL="114300" distR="114300" simplePos="0" relativeHeight="251659264" behindDoc="0" locked="1" layoutInCell="1" allowOverlap="1" wp14:anchorId="4CCF6743" wp14:editId="4CCF6744">
            <wp:simplePos x="0" y="0"/>
            <wp:positionH relativeFrom="page">
              <wp:posOffset>720090</wp:posOffset>
            </wp:positionH>
            <wp:positionV relativeFrom="page">
              <wp:posOffset>514350</wp:posOffset>
            </wp:positionV>
            <wp:extent cx="880110" cy="551815"/>
            <wp:effectExtent l="0" t="0" r="8890" b="6985"/>
            <wp:wrapNone/>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80110" cy="551815"/>
                    </a:xfrm>
                    <a:prstGeom prst="rect">
                      <a:avLst/>
                    </a:prstGeom>
                    <a:noFill/>
                    <a:ln w="9525">
                      <a:noFill/>
                      <a:miter lim="800000"/>
                      <a:headEnd/>
                      <a:tailEnd/>
                    </a:ln>
                  </pic:spPr>
                </pic:pic>
              </a:graphicData>
            </a:graphic>
          </wp:anchor>
        </w:drawing>
      </w:r>
    </w:p>
    <w:p w14:paraId="4CCF66E6" w14:textId="77777777" w:rsidR="00186BBC" w:rsidRDefault="00186BBC">
      <w:pPr>
        <w:rPr>
          <w:b/>
          <w:color w:val="0000FF"/>
          <w:sz w:val="28"/>
          <w:szCs w:val="28"/>
        </w:rPr>
      </w:pPr>
    </w:p>
    <w:p w14:paraId="4CCF66E7" w14:textId="33C1EAE6" w:rsidR="004068E3" w:rsidRPr="00863FFD" w:rsidRDefault="006C6063">
      <w:pPr>
        <w:rPr>
          <w:b/>
          <w:color w:val="0000FF"/>
          <w:sz w:val="28"/>
          <w:szCs w:val="28"/>
        </w:rPr>
      </w:pPr>
      <w:r>
        <w:rPr>
          <w:b/>
          <w:color w:val="0000FF"/>
          <w:sz w:val="28"/>
          <w:szCs w:val="28"/>
        </w:rPr>
        <w:t xml:space="preserve">Conférence de l’ETF : Compétences et </w:t>
      </w:r>
      <w:r w:rsidR="00F36F47">
        <w:rPr>
          <w:b/>
          <w:color w:val="0000FF"/>
          <w:sz w:val="28"/>
          <w:szCs w:val="28"/>
        </w:rPr>
        <w:t>certification</w:t>
      </w:r>
      <w:r>
        <w:rPr>
          <w:b/>
          <w:color w:val="0000FF"/>
          <w:sz w:val="28"/>
          <w:szCs w:val="28"/>
        </w:rPr>
        <w:t xml:space="preserve">s </w:t>
      </w:r>
      <w:r w:rsidR="00AF14FB">
        <w:rPr>
          <w:b/>
          <w:color w:val="0000FF"/>
          <w:sz w:val="28"/>
          <w:szCs w:val="28"/>
        </w:rPr>
        <w:t>–</w:t>
      </w:r>
      <w:r w:rsidR="00D52BCD">
        <w:rPr>
          <w:b/>
          <w:color w:val="0000FF"/>
          <w:sz w:val="28"/>
          <w:szCs w:val="28"/>
        </w:rPr>
        <w:t xml:space="preserve"> </w:t>
      </w:r>
      <w:r w:rsidR="00AF14FB">
        <w:rPr>
          <w:b/>
          <w:color w:val="0000FF"/>
          <w:sz w:val="28"/>
          <w:szCs w:val="28"/>
        </w:rPr>
        <w:t>des atouts pour tous</w:t>
      </w:r>
    </w:p>
    <w:p w14:paraId="4CCF66E8" w14:textId="77777777" w:rsidR="006C6063" w:rsidRPr="00863FFD" w:rsidRDefault="00186BBC">
      <w:pPr>
        <w:rPr>
          <w:b/>
          <w:color w:val="0000FF"/>
          <w:sz w:val="28"/>
          <w:szCs w:val="28"/>
        </w:rPr>
      </w:pPr>
      <w:r>
        <w:rPr>
          <w:b/>
          <w:color w:val="0000FF"/>
          <w:sz w:val="28"/>
          <w:szCs w:val="28"/>
        </w:rPr>
        <w:t>Turin, les 6 et 7 novembre 2019</w:t>
      </w:r>
    </w:p>
    <w:p w14:paraId="4CCF66E9" w14:textId="77777777" w:rsidR="006C6063" w:rsidRPr="00863FFD" w:rsidRDefault="006C6063">
      <w:pPr>
        <w:rPr>
          <w:b/>
          <w:color w:val="0000FF"/>
          <w:sz w:val="28"/>
          <w:szCs w:val="28"/>
        </w:rPr>
      </w:pPr>
    </w:p>
    <w:p w14:paraId="4CCF66EA" w14:textId="69339ED1" w:rsidR="006C6063" w:rsidRPr="00863FFD" w:rsidRDefault="006C6063" w:rsidP="006C6063">
      <w:pPr>
        <w:pBdr>
          <w:bottom w:val="single" w:sz="4" w:space="1" w:color="auto"/>
        </w:pBdr>
        <w:rPr>
          <w:b/>
          <w:i/>
          <w:color w:val="0000FF"/>
        </w:rPr>
      </w:pPr>
      <w:r>
        <w:rPr>
          <w:b/>
          <w:i/>
          <w:color w:val="0000FF"/>
        </w:rPr>
        <w:t xml:space="preserve">Atelier 3 : </w:t>
      </w:r>
      <w:r w:rsidR="00AF14FB">
        <w:rPr>
          <w:b/>
          <w:i/>
          <w:color w:val="0000FF"/>
        </w:rPr>
        <w:t>L’évolution du rôle</w:t>
      </w:r>
      <w:bookmarkStart w:id="0" w:name="_GoBack"/>
      <w:bookmarkEnd w:id="0"/>
      <w:r w:rsidR="00AF14FB">
        <w:rPr>
          <w:b/>
          <w:i/>
          <w:color w:val="0000FF"/>
        </w:rPr>
        <w:t xml:space="preserve"> des enseignants et des formateurs : de l’enseignement à l’accompagnement à l’acquisition des compétences</w:t>
      </w:r>
    </w:p>
    <w:p w14:paraId="4CCF66EB" w14:textId="77777777" w:rsidR="005E0D45" w:rsidRPr="00863FFD" w:rsidRDefault="005E0D45" w:rsidP="005E0D45">
      <w:pPr>
        <w:pStyle w:val="Heading1"/>
        <w:numPr>
          <w:ilvl w:val="0"/>
          <w:numId w:val="0"/>
        </w:numPr>
        <w:pBdr>
          <w:top w:val="single" w:sz="4" w:space="1" w:color="auto"/>
          <w:left w:val="single" w:sz="4" w:space="4" w:color="auto"/>
          <w:bottom w:val="single" w:sz="4" w:space="1" w:color="auto"/>
          <w:right w:val="single" w:sz="4" w:space="4" w:color="auto"/>
        </w:pBdr>
        <w:rPr>
          <w:rFonts w:asciiTheme="minorHAnsi" w:hAnsiTheme="minorHAnsi"/>
          <w:i/>
          <w:color w:val="008000"/>
          <w:sz w:val="24"/>
          <w:szCs w:val="24"/>
        </w:rPr>
      </w:pPr>
      <w:r>
        <w:rPr>
          <w:rFonts w:asciiTheme="minorHAnsi" w:hAnsiTheme="minorHAnsi"/>
          <w:i/>
          <w:color w:val="008000"/>
          <w:sz w:val="24"/>
          <w:szCs w:val="24"/>
        </w:rPr>
        <w:t>1. Principaux contributeurs</w:t>
      </w:r>
    </w:p>
    <w:p w14:paraId="4CCF66EC" w14:textId="77777777" w:rsidR="005E0D45" w:rsidRPr="00863FFD" w:rsidRDefault="005E0D45" w:rsidP="005E0D45"/>
    <w:p w14:paraId="4CCF66ED" w14:textId="77777777" w:rsidR="003B0113" w:rsidRPr="00002745" w:rsidRDefault="004A341C" w:rsidP="00002745">
      <w:pPr>
        <w:pStyle w:val="ETFBodyText"/>
        <w:ind w:left="1985" w:hanging="1985"/>
        <w:rPr>
          <w:rFonts w:asciiTheme="minorHAnsi" w:hAnsiTheme="minorHAnsi"/>
          <w:i w:val="0"/>
          <w:sz w:val="24"/>
          <w:szCs w:val="24"/>
        </w:rPr>
      </w:pPr>
      <w:r>
        <w:rPr>
          <w:rFonts w:asciiTheme="minorHAnsi" w:hAnsiTheme="minorHAnsi"/>
          <w:i w:val="0"/>
          <w:sz w:val="24"/>
          <w:szCs w:val="24"/>
        </w:rPr>
        <w:t>Président</w:t>
      </w:r>
      <w:r w:rsidR="003B0113">
        <w:rPr>
          <w:rFonts w:asciiTheme="minorHAnsi" w:hAnsiTheme="minorHAnsi"/>
          <w:i w:val="0"/>
          <w:sz w:val="24"/>
          <w:szCs w:val="24"/>
        </w:rPr>
        <w:t xml:space="preserve"> :  </w:t>
      </w:r>
      <w:r w:rsidR="003B0113">
        <w:rPr>
          <w:rFonts w:asciiTheme="minorHAnsi" w:hAnsiTheme="minorHAnsi"/>
          <w:i w:val="0"/>
          <w:sz w:val="24"/>
          <w:szCs w:val="24"/>
        </w:rPr>
        <w:tab/>
        <w:t>Arjen Deij, spécialiste en systèmes de certification, ETF</w:t>
      </w:r>
    </w:p>
    <w:p w14:paraId="4CCF66EE" w14:textId="77777777" w:rsidR="003B0113" w:rsidRPr="00002745" w:rsidRDefault="003B0113" w:rsidP="00002745">
      <w:pPr>
        <w:pStyle w:val="ETFBodyText"/>
        <w:ind w:left="1985" w:hanging="1985"/>
        <w:rPr>
          <w:rFonts w:asciiTheme="minorHAnsi" w:hAnsiTheme="minorHAnsi"/>
          <w:i w:val="0"/>
          <w:sz w:val="24"/>
          <w:szCs w:val="24"/>
        </w:rPr>
      </w:pPr>
      <w:r>
        <w:rPr>
          <w:rFonts w:asciiTheme="minorHAnsi" w:hAnsiTheme="minorHAnsi"/>
          <w:i w:val="0"/>
          <w:sz w:val="24"/>
          <w:szCs w:val="24"/>
        </w:rPr>
        <w:t xml:space="preserve">Coordinateur : </w:t>
      </w:r>
      <w:r>
        <w:rPr>
          <w:rFonts w:asciiTheme="minorHAnsi" w:hAnsiTheme="minorHAnsi"/>
          <w:i w:val="0"/>
          <w:sz w:val="24"/>
          <w:szCs w:val="24"/>
        </w:rPr>
        <w:tab/>
        <w:t xml:space="preserve">Julian Stanley, spécialiste enseignants et formateurs d’EFP, ETF </w:t>
      </w:r>
    </w:p>
    <w:p w14:paraId="4CCF66EF" w14:textId="77777777" w:rsidR="003B0113" w:rsidRPr="00002745" w:rsidRDefault="003B0113" w:rsidP="00002745">
      <w:pPr>
        <w:pStyle w:val="ETFBodyText"/>
        <w:ind w:left="1985" w:hanging="1985"/>
        <w:rPr>
          <w:rFonts w:asciiTheme="minorHAnsi" w:hAnsiTheme="minorHAnsi"/>
          <w:sz w:val="24"/>
          <w:szCs w:val="24"/>
        </w:rPr>
      </w:pPr>
      <w:r>
        <w:rPr>
          <w:rFonts w:asciiTheme="minorHAnsi" w:hAnsiTheme="minorHAnsi"/>
          <w:i w:val="0"/>
          <w:sz w:val="24"/>
          <w:szCs w:val="24"/>
        </w:rPr>
        <w:t xml:space="preserve">Rapporteur PC :  </w:t>
      </w:r>
      <w:r>
        <w:rPr>
          <w:rFonts w:asciiTheme="minorHAnsi" w:hAnsiTheme="minorHAnsi"/>
          <w:i w:val="0"/>
          <w:sz w:val="24"/>
          <w:szCs w:val="24"/>
        </w:rPr>
        <w:tab/>
        <w:t>Alqi Mustafai, spécialiste en éducation, agence nationale pour l’EFP et les certifications, Albanie</w:t>
      </w:r>
    </w:p>
    <w:p w14:paraId="4CCF66F0" w14:textId="77777777" w:rsidR="005C3B64" w:rsidRPr="00863FFD" w:rsidRDefault="005E0D45" w:rsidP="005E0D45">
      <w:pPr>
        <w:pStyle w:val="Heading1"/>
        <w:numPr>
          <w:ilvl w:val="0"/>
          <w:numId w:val="0"/>
        </w:numPr>
        <w:pBdr>
          <w:top w:val="single" w:sz="4" w:space="1" w:color="auto"/>
          <w:left w:val="single" w:sz="4" w:space="4" w:color="auto"/>
          <w:bottom w:val="single" w:sz="4" w:space="1" w:color="auto"/>
          <w:right w:val="single" w:sz="4" w:space="4" w:color="auto"/>
        </w:pBdr>
        <w:rPr>
          <w:rFonts w:asciiTheme="minorHAnsi" w:hAnsiTheme="minorHAnsi"/>
          <w:i/>
          <w:color w:val="008000"/>
          <w:sz w:val="24"/>
          <w:szCs w:val="24"/>
        </w:rPr>
      </w:pPr>
      <w:r>
        <w:rPr>
          <w:rFonts w:asciiTheme="minorHAnsi" w:hAnsiTheme="minorHAnsi"/>
          <w:i/>
          <w:color w:val="008000"/>
          <w:sz w:val="24"/>
          <w:szCs w:val="24"/>
        </w:rPr>
        <w:t xml:space="preserve">2. Introduction </w:t>
      </w:r>
    </w:p>
    <w:p w14:paraId="4CCF66F1" w14:textId="77777777" w:rsidR="005C3B64" w:rsidRPr="00863FFD" w:rsidRDefault="005C3B64"/>
    <w:p w14:paraId="4CCF66F2" w14:textId="23A307C6" w:rsidR="00863FFD" w:rsidRPr="00002745" w:rsidRDefault="00863FFD" w:rsidP="00002745">
      <w:pPr>
        <w:pStyle w:val="Default"/>
        <w:jc w:val="both"/>
        <w:rPr>
          <w:rStyle w:val="A6"/>
          <w:rFonts w:asciiTheme="minorHAnsi" w:hAnsiTheme="minorHAnsi" w:cstheme="minorBidi"/>
          <w:color w:val="auto"/>
          <w:sz w:val="24"/>
          <w:szCs w:val="24"/>
        </w:rPr>
      </w:pPr>
      <w:r>
        <w:rPr>
          <w:rStyle w:val="A6"/>
          <w:rFonts w:asciiTheme="minorHAnsi" w:hAnsiTheme="minorHAnsi"/>
          <w:color w:val="auto"/>
          <w:sz w:val="24"/>
          <w:szCs w:val="24"/>
        </w:rPr>
        <w:t xml:space="preserve">Numérisation, accroissement de l'apprentissage en dehors de la salle de classe, approches basées sur les compétences et centrées sur l’apprenant, mélange d’apprenants de différentes tranches d’âge et de différents milieux, intégration de la pratique et de la théorie, approches plus interdisciplinaires, compétences-clés et compétences transversales telles que la pensée critique et le travail en équipe : les enseignants et les formateurs sont confrontés à de nombreux changements et souvent aux prises avec de grandes attentes. Ceci complique encore un travail déjà difficile et pose la question de savoir comment les enseignants, les formateurs d’enseignants, les directeurs d’établissement, les ministres de l’éducation et les organisations syndicales peuvent aider les enseignants à affronter les changements avec succès </w:t>
      </w:r>
      <w:r w:rsidR="006A09FA">
        <w:rPr>
          <w:rStyle w:val="A6"/>
          <w:rFonts w:asciiTheme="minorHAnsi" w:hAnsiTheme="minorHAnsi"/>
          <w:color w:val="auto"/>
          <w:sz w:val="24"/>
          <w:szCs w:val="24"/>
        </w:rPr>
        <w:t xml:space="preserve">durant </w:t>
      </w:r>
      <w:r>
        <w:rPr>
          <w:rStyle w:val="A6"/>
          <w:rFonts w:asciiTheme="minorHAnsi" w:hAnsiTheme="minorHAnsi"/>
          <w:color w:val="auto"/>
          <w:sz w:val="24"/>
          <w:szCs w:val="24"/>
        </w:rPr>
        <w:t xml:space="preserve">toutes les étapes de leur carrière. </w:t>
      </w:r>
    </w:p>
    <w:p w14:paraId="4CCF66F3" w14:textId="77777777" w:rsidR="00002745" w:rsidRPr="00002745" w:rsidRDefault="00002745" w:rsidP="00002745">
      <w:pPr>
        <w:pStyle w:val="Default"/>
        <w:jc w:val="both"/>
        <w:rPr>
          <w:rStyle w:val="A6"/>
          <w:rFonts w:asciiTheme="minorHAnsi" w:hAnsiTheme="minorHAnsi" w:cstheme="minorBidi"/>
          <w:color w:val="auto"/>
          <w:sz w:val="24"/>
          <w:szCs w:val="24"/>
        </w:rPr>
      </w:pPr>
    </w:p>
    <w:p w14:paraId="4CCF66F4" w14:textId="77777777" w:rsidR="00863FFD" w:rsidRDefault="00863FFD" w:rsidP="00002745">
      <w:pPr>
        <w:pStyle w:val="Default"/>
        <w:jc w:val="both"/>
        <w:rPr>
          <w:rStyle w:val="A6"/>
          <w:rFonts w:asciiTheme="minorHAnsi" w:hAnsiTheme="minorHAnsi" w:cstheme="minorBidi"/>
          <w:color w:val="auto"/>
          <w:sz w:val="24"/>
          <w:szCs w:val="24"/>
        </w:rPr>
      </w:pPr>
      <w:r>
        <w:rPr>
          <w:rStyle w:val="A6"/>
          <w:rFonts w:asciiTheme="minorHAnsi" w:hAnsiTheme="minorHAnsi"/>
          <w:color w:val="auto"/>
          <w:sz w:val="24"/>
          <w:szCs w:val="24"/>
        </w:rPr>
        <w:t xml:space="preserve">Lorsque nous évoquons les « enseignants et formateurs » des pays partenaires de l’ETF, nous désignons généralement les différentes catégories de professionnels de l’enseignement et de la formation professionnels (EFP) travaillant avec des jeunes et des adultes.  Les statuts, les </w:t>
      </w:r>
      <w:r w:rsidR="00F36F47">
        <w:rPr>
          <w:rStyle w:val="A6"/>
          <w:rFonts w:asciiTheme="minorHAnsi" w:hAnsiTheme="minorHAnsi"/>
          <w:color w:val="auto"/>
          <w:sz w:val="24"/>
          <w:szCs w:val="24"/>
        </w:rPr>
        <w:t>certification</w:t>
      </w:r>
      <w:r>
        <w:rPr>
          <w:rStyle w:val="A6"/>
          <w:rFonts w:asciiTheme="minorHAnsi" w:hAnsiTheme="minorHAnsi"/>
          <w:color w:val="auto"/>
          <w:sz w:val="24"/>
          <w:szCs w:val="24"/>
        </w:rPr>
        <w:t xml:space="preserve">s et les responsabilités de ces professionnels sont généralement différents.  Actuellement, les enseignants et les formateurs ont des attentes en matière de formation professionnelle continue, ils exercent un riche éventail de méthodes d’enseignement et d’évaluation.  Ils ont souvent acquis des comportements et des valeurs qu’ils partagent avec leurs collègues et peuvent avoir de l’ambition et des attentes concernant leur propre carrière. </w:t>
      </w:r>
    </w:p>
    <w:p w14:paraId="4CCF66F5" w14:textId="77777777" w:rsidR="00875B16" w:rsidRDefault="00875B16" w:rsidP="00002745">
      <w:pPr>
        <w:pStyle w:val="Default"/>
        <w:jc w:val="both"/>
        <w:rPr>
          <w:rStyle w:val="A6"/>
          <w:rFonts w:asciiTheme="minorHAnsi" w:hAnsiTheme="minorHAnsi" w:cstheme="minorBidi"/>
          <w:color w:val="auto"/>
          <w:sz w:val="24"/>
          <w:szCs w:val="24"/>
        </w:rPr>
      </w:pPr>
    </w:p>
    <w:p w14:paraId="4CCF66F6" w14:textId="77777777" w:rsidR="00875B16" w:rsidRPr="00002745" w:rsidRDefault="00875B16" w:rsidP="00002745">
      <w:pPr>
        <w:pStyle w:val="Default"/>
        <w:jc w:val="both"/>
        <w:rPr>
          <w:rFonts w:asciiTheme="minorHAnsi" w:hAnsiTheme="minorHAnsi"/>
        </w:rPr>
      </w:pPr>
      <w:r>
        <w:rPr>
          <w:rStyle w:val="A6"/>
          <w:rFonts w:asciiTheme="minorHAnsi" w:hAnsiTheme="minorHAnsi"/>
          <w:color w:val="auto"/>
          <w:sz w:val="24"/>
          <w:szCs w:val="24"/>
        </w:rPr>
        <w:t>Au cours de cet atelier, nous souhaitons examiner comment le profil, les responsabilités, les compétences, les méthodes de travail, les valeurs et les perspectives de carrière des enseignants et des formateurs peuvent changer.  Nous demanderons aux participants d’envisager les possibilités pour les enseignants et les formateurs du futur, et d’imaginer ensuite comment ce futur peut être concrétisé.</w:t>
      </w:r>
    </w:p>
    <w:p w14:paraId="4CCF66F7" w14:textId="77777777" w:rsidR="005E0D45" w:rsidRPr="00863FFD" w:rsidRDefault="005E0D45" w:rsidP="005E0D45">
      <w:pPr>
        <w:rPr>
          <w:b/>
          <w:i/>
          <w:color w:val="0000FF"/>
          <w:sz w:val="22"/>
          <w:szCs w:val="22"/>
        </w:rPr>
      </w:pPr>
    </w:p>
    <w:p w14:paraId="4CCF66F8" w14:textId="77777777" w:rsidR="005C3B64" w:rsidRPr="00863FFD" w:rsidRDefault="001E5675" w:rsidP="008B3EC7">
      <w:pPr>
        <w:jc w:val="both"/>
      </w:pPr>
      <w:r>
        <w:lastRenderedPageBreak/>
        <w:t>Ensemble, nous examinerons comment le rôle des enseignants et des formateurs est déjà en train de changer dans différents pays et de quelle manière il est possible d’aider les enseignants à se préparer pour ces nouveaux rôles.</w:t>
      </w:r>
    </w:p>
    <w:p w14:paraId="4CCF66F9" w14:textId="77777777" w:rsidR="005E0D45" w:rsidRPr="00863FFD" w:rsidRDefault="005E0D45" w:rsidP="008B3EC7">
      <w:pPr>
        <w:jc w:val="both"/>
        <w:rPr>
          <w:b/>
          <w:i/>
          <w:color w:val="0000FF"/>
          <w:sz w:val="22"/>
          <w:szCs w:val="22"/>
        </w:rPr>
      </w:pPr>
    </w:p>
    <w:p w14:paraId="4CCF66FA" w14:textId="77777777" w:rsidR="00671DEA" w:rsidRPr="00863FFD" w:rsidRDefault="003A7488" w:rsidP="00A1479F">
      <w:pPr>
        <w:pStyle w:val="Heading1"/>
        <w:numPr>
          <w:ilvl w:val="0"/>
          <w:numId w:val="0"/>
        </w:numPr>
        <w:pBdr>
          <w:top w:val="single" w:sz="4" w:space="1" w:color="auto"/>
          <w:left w:val="single" w:sz="4" w:space="4" w:color="auto"/>
          <w:bottom w:val="single" w:sz="4" w:space="1" w:color="auto"/>
          <w:right w:val="single" w:sz="4" w:space="4" w:color="auto"/>
        </w:pBdr>
        <w:spacing w:before="360"/>
        <w:rPr>
          <w:rFonts w:asciiTheme="minorHAnsi" w:hAnsiTheme="minorHAnsi"/>
          <w:i/>
          <w:color w:val="008000"/>
          <w:sz w:val="24"/>
          <w:szCs w:val="24"/>
        </w:rPr>
      </w:pPr>
      <w:r>
        <w:rPr>
          <w:rFonts w:asciiTheme="minorHAnsi" w:hAnsiTheme="minorHAnsi"/>
          <w:i/>
          <w:color w:val="008000"/>
          <w:sz w:val="24"/>
          <w:szCs w:val="24"/>
        </w:rPr>
        <w:t>3. Ordre du jour provisoire de l’atelier 3</w:t>
      </w:r>
    </w:p>
    <w:p w14:paraId="4CCF66FB" w14:textId="77777777" w:rsidR="00671DEA" w:rsidRDefault="00671DEA"/>
    <w:p w14:paraId="4CCF66FC" w14:textId="77777777" w:rsidR="005E0AAB" w:rsidRDefault="00C40AC6">
      <w:r>
        <w:t>L’idée est d’optimiser le temps pour que les participants soient le plus actif possible au cours de l’atelier.</w:t>
      </w:r>
    </w:p>
    <w:p w14:paraId="4CCF66FD" w14:textId="77777777" w:rsidR="00C40AC6" w:rsidRDefault="00C40AC6"/>
    <w:p w14:paraId="4CCF66FE" w14:textId="77777777" w:rsidR="00C40AC6" w:rsidRDefault="005809D1">
      <w:r>
        <w:t>Les participants seront regroupés autour de six tables ou plus de 8 personnes en fonction des groupes linguistiques (EN, RU, FR) pour permettre les discussions sans traduction. Après une présentation de la tâche demandée, les participants commencent à travailler.</w:t>
      </w:r>
    </w:p>
    <w:p w14:paraId="4CCF66FF" w14:textId="77777777" w:rsidR="00C40AC6" w:rsidRDefault="00C40AC6"/>
    <w:p w14:paraId="4CCF6700" w14:textId="77777777" w:rsidR="005E0AAB" w:rsidRDefault="00A1479F">
      <w:r>
        <w:t>Il se</w:t>
      </w:r>
      <w:r w:rsidR="004A341C">
        <w:t>ra demandé aux participants de s</w:t>
      </w:r>
      <w:r>
        <w:t>e concentrer sur les profils d’enseignant et de formateur d’EFP les plus courants dans leur pays. Nous leur demanderons d’examiner l’évolution de la situation depuis les années 2010 et de dire comment ils imaginent les enseignants et les formateurs d’EFP en 2030.</w:t>
      </w:r>
    </w:p>
    <w:p w14:paraId="4CCF6701" w14:textId="77777777" w:rsidR="00C40AC6" w:rsidRDefault="00C40AC6"/>
    <w:p w14:paraId="4CCF6702" w14:textId="77777777" w:rsidR="00C40AC6" w:rsidRDefault="00C40AC6">
      <w:r>
        <w:t>Le rôle des enseignants et des formateurs d’EFP sera examiné sur la base des questions suivantes :</w:t>
      </w:r>
    </w:p>
    <w:p w14:paraId="4CCF6703" w14:textId="77777777" w:rsidR="00C40AC6" w:rsidRDefault="00C40AC6"/>
    <w:p w14:paraId="4CCF6704" w14:textId="77777777" w:rsidR="002445F3" w:rsidRDefault="00C40AC6" w:rsidP="002445F3">
      <w:pPr>
        <w:pStyle w:val="ListParagraph"/>
        <w:numPr>
          <w:ilvl w:val="0"/>
          <w:numId w:val="19"/>
        </w:numPr>
      </w:pPr>
      <w:r>
        <w:t>Que font les enseignants normalement dans une salle de classe ? (Comment enseignent-ils ? Quel matériel et quels équipements utilisent-ils ? Comment l’enseignement est-il organisé ?)</w:t>
      </w:r>
    </w:p>
    <w:p w14:paraId="4CCF6705" w14:textId="406DFF03" w:rsidR="002445F3" w:rsidRDefault="00C40AC6" w:rsidP="002445F3">
      <w:pPr>
        <w:pStyle w:val="ListParagraph"/>
        <w:numPr>
          <w:ilvl w:val="0"/>
          <w:numId w:val="19"/>
        </w:numPr>
      </w:pPr>
      <w:r>
        <w:t>Avec qui les enseignants travaillent-ils ?  (Seuls ?</w:t>
      </w:r>
      <w:r w:rsidR="00131E50">
        <w:t xml:space="preserve"> Avec </w:t>
      </w:r>
      <w:r>
        <w:t xml:space="preserve"> </w:t>
      </w:r>
      <w:r w:rsidR="00131E50">
        <w:t>d</w:t>
      </w:r>
      <w:r>
        <w:t>’autres collègues de leur établissement ? Pays ? Internationalement ? Employeurs ? Comment ?)</w:t>
      </w:r>
    </w:p>
    <w:p w14:paraId="4CCF6706" w14:textId="77777777" w:rsidR="002445F3" w:rsidRDefault="007E7676" w:rsidP="002445F3">
      <w:pPr>
        <w:pStyle w:val="ListParagraph"/>
        <w:numPr>
          <w:ilvl w:val="0"/>
          <w:numId w:val="19"/>
        </w:numPr>
      </w:pPr>
      <w:r>
        <w:t xml:space="preserve">Quelles sont les spécialisations ou les </w:t>
      </w:r>
      <w:r w:rsidR="00F36F47">
        <w:t>certification</w:t>
      </w:r>
      <w:r>
        <w:t>s nécessaires pour les enseignants d’EFP ?  (</w:t>
      </w:r>
      <w:r w:rsidR="00F36F47">
        <w:t>Certifications</w:t>
      </w:r>
      <w:r>
        <w:t xml:space="preserve"> initiales exigées ? Classification formelle et informelle du poste ? Échelle des carrières ? Expériences et déroulement de carrière ?)</w:t>
      </w:r>
    </w:p>
    <w:p w14:paraId="4CCF6707" w14:textId="77777777" w:rsidR="00C40AC6" w:rsidRDefault="007E7676" w:rsidP="002445F3">
      <w:pPr>
        <w:pStyle w:val="ListParagraph"/>
        <w:numPr>
          <w:ilvl w:val="0"/>
          <w:numId w:val="19"/>
        </w:numPr>
      </w:pPr>
      <w:r>
        <w:t>Qu’est-ce qui motive l’enseignant à travailler en dehors de son salaire ?  (Valeurs et comportements ? Croissance personnelle et professionnelle ? Créativité et autonomie professionnelle ? Collégialité ? Identité professionnelle ?)</w:t>
      </w:r>
    </w:p>
    <w:p w14:paraId="4CCF6708" w14:textId="77777777" w:rsidR="005809D1" w:rsidRDefault="005809D1"/>
    <w:p w14:paraId="4CCF6709" w14:textId="56DCE5E3" w:rsidR="005E0AAB" w:rsidRPr="00863FFD" w:rsidRDefault="005809D1">
      <w:r>
        <w:t xml:space="preserve">Les groupes présenteront leurs résultats à travers des jeux de rôle comprenant un enseignant débutant et un enseignant âgé. Après avoir fusionné les résultats des différentes tables, pause café. Après la pause, les participants discutent de la manière de se préparer pour 2030 en dressant une liste d’actions et d’acteurs pour que les enseignants et les formateurs soient prêts en 2030. Les résultats des différents groupes sont partagés sur un </w:t>
      </w:r>
      <w:r w:rsidR="006A09FA">
        <w:t>« </w:t>
      </w:r>
      <w:r>
        <w:t>padlet</w:t>
      </w:r>
      <w:r w:rsidR="006A09FA">
        <w:t> »</w:t>
      </w:r>
      <w:r>
        <w:t>. L</w:t>
      </w:r>
      <w:r w:rsidR="00131E50">
        <w:t>’ensemble des</w:t>
      </w:r>
      <w:r>
        <w:t xml:space="preserve"> résultats sont validés en séance plénière. Le rapporteur résume et ajoute quelques commentaires personnels. L’atelier est clos.</w:t>
      </w:r>
    </w:p>
    <w:tbl>
      <w:tblPr>
        <w:tblStyle w:val="TableGrid"/>
        <w:tblW w:w="9039" w:type="dxa"/>
        <w:tblLook w:val="04A0" w:firstRow="1" w:lastRow="0" w:firstColumn="1" w:lastColumn="0" w:noHBand="0" w:noVBand="1"/>
      </w:tblPr>
      <w:tblGrid>
        <w:gridCol w:w="1491"/>
        <w:gridCol w:w="3579"/>
        <w:gridCol w:w="1842"/>
        <w:gridCol w:w="2127"/>
      </w:tblGrid>
      <w:tr w:rsidR="000E7CE9" w:rsidRPr="00863FFD" w14:paraId="4CCF670E" w14:textId="77777777" w:rsidTr="002445F3">
        <w:tc>
          <w:tcPr>
            <w:tcW w:w="1491" w:type="dxa"/>
            <w:shd w:val="clear" w:color="auto" w:fill="0D0D0D" w:themeFill="text1" w:themeFillTint="F2"/>
          </w:tcPr>
          <w:p w14:paraId="4CCF670A" w14:textId="77777777" w:rsidR="000E7CE9" w:rsidRPr="005809D1" w:rsidRDefault="000E7CE9">
            <w:pPr>
              <w:rPr>
                <w:b/>
                <w:color w:val="FFFFFF" w:themeColor="background1"/>
                <w:sz w:val="22"/>
                <w:szCs w:val="22"/>
              </w:rPr>
            </w:pPr>
            <w:r>
              <w:rPr>
                <w:b/>
                <w:color w:val="FFFFFF" w:themeColor="background1"/>
                <w:sz w:val="22"/>
                <w:szCs w:val="22"/>
              </w:rPr>
              <w:t>Horaire</w:t>
            </w:r>
          </w:p>
        </w:tc>
        <w:tc>
          <w:tcPr>
            <w:tcW w:w="3579" w:type="dxa"/>
            <w:shd w:val="clear" w:color="auto" w:fill="0D0D0D" w:themeFill="text1" w:themeFillTint="F2"/>
          </w:tcPr>
          <w:p w14:paraId="4CCF670B" w14:textId="77777777" w:rsidR="000E7CE9" w:rsidRPr="005809D1" w:rsidRDefault="000E7CE9">
            <w:pPr>
              <w:rPr>
                <w:b/>
                <w:color w:val="FFFFFF" w:themeColor="background1"/>
                <w:sz w:val="22"/>
                <w:szCs w:val="22"/>
              </w:rPr>
            </w:pPr>
            <w:r>
              <w:rPr>
                <w:b/>
                <w:color w:val="FFFFFF" w:themeColor="background1"/>
                <w:sz w:val="22"/>
                <w:szCs w:val="22"/>
              </w:rPr>
              <w:t>Session</w:t>
            </w:r>
          </w:p>
        </w:tc>
        <w:tc>
          <w:tcPr>
            <w:tcW w:w="1842" w:type="dxa"/>
            <w:shd w:val="clear" w:color="auto" w:fill="0D0D0D" w:themeFill="text1" w:themeFillTint="F2"/>
          </w:tcPr>
          <w:p w14:paraId="4CCF670C" w14:textId="77777777" w:rsidR="000E7CE9" w:rsidRPr="005809D1" w:rsidRDefault="000E7CE9">
            <w:pPr>
              <w:rPr>
                <w:b/>
                <w:color w:val="FFFFFF" w:themeColor="background1"/>
                <w:sz w:val="22"/>
                <w:szCs w:val="22"/>
              </w:rPr>
            </w:pPr>
            <w:r>
              <w:rPr>
                <w:b/>
                <w:color w:val="FFFFFF" w:themeColor="background1"/>
                <w:sz w:val="22"/>
                <w:szCs w:val="22"/>
              </w:rPr>
              <w:t>Orateur, modérateur</w:t>
            </w:r>
          </w:p>
        </w:tc>
        <w:tc>
          <w:tcPr>
            <w:tcW w:w="2127" w:type="dxa"/>
            <w:shd w:val="clear" w:color="auto" w:fill="0D0D0D" w:themeFill="text1" w:themeFillTint="F2"/>
          </w:tcPr>
          <w:p w14:paraId="4CCF670D" w14:textId="77777777" w:rsidR="000E7CE9" w:rsidRPr="005809D1" w:rsidRDefault="000E7CE9">
            <w:pPr>
              <w:rPr>
                <w:b/>
                <w:color w:val="FFFFFF" w:themeColor="background1"/>
                <w:sz w:val="22"/>
                <w:szCs w:val="22"/>
              </w:rPr>
            </w:pPr>
            <w:r>
              <w:rPr>
                <w:b/>
                <w:color w:val="FFFFFF" w:themeColor="background1"/>
                <w:sz w:val="22"/>
                <w:szCs w:val="22"/>
              </w:rPr>
              <w:t>Méthode</w:t>
            </w:r>
          </w:p>
        </w:tc>
      </w:tr>
      <w:tr w:rsidR="000E7CE9" w:rsidRPr="00863FFD" w14:paraId="4CCF6713" w14:textId="77777777" w:rsidTr="002445F3">
        <w:tc>
          <w:tcPr>
            <w:tcW w:w="1491" w:type="dxa"/>
          </w:tcPr>
          <w:p w14:paraId="4CCF670F" w14:textId="77777777" w:rsidR="000E7CE9" w:rsidRPr="00863FFD" w:rsidRDefault="000E7CE9">
            <w:pPr>
              <w:rPr>
                <w:sz w:val="22"/>
                <w:szCs w:val="22"/>
              </w:rPr>
            </w:pPr>
            <w:r>
              <w:rPr>
                <w:sz w:val="22"/>
                <w:szCs w:val="22"/>
              </w:rPr>
              <w:t>14h00 - 14h10</w:t>
            </w:r>
          </w:p>
        </w:tc>
        <w:tc>
          <w:tcPr>
            <w:tcW w:w="3579" w:type="dxa"/>
          </w:tcPr>
          <w:p w14:paraId="4CCF6710" w14:textId="77777777" w:rsidR="000E7CE9" w:rsidRPr="005809D1" w:rsidRDefault="0033149E">
            <w:pPr>
              <w:rPr>
                <w:b/>
                <w:sz w:val="22"/>
                <w:szCs w:val="22"/>
              </w:rPr>
            </w:pPr>
            <w:r>
              <w:rPr>
                <w:b/>
                <w:sz w:val="22"/>
                <w:szCs w:val="22"/>
              </w:rPr>
              <w:t>Présentation, objectifs et approche de l’atelier</w:t>
            </w:r>
          </w:p>
        </w:tc>
        <w:tc>
          <w:tcPr>
            <w:tcW w:w="1842" w:type="dxa"/>
          </w:tcPr>
          <w:p w14:paraId="4CCF6711" w14:textId="77777777" w:rsidR="000E7CE9" w:rsidRPr="00863FFD" w:rsidRDefault="00303695">
            <w:pPr>
              <w:rPr>
                <w:sz w:val="22"/>
                <w:szCs w:val="22"/>
              </w:rPr>
            </w:pPr>
            <w:r>
              <w:rPr>
                <w:sz w:val="22"/>
                <w:szCs w:val="22"/>
              </w:rPr>
              <w:t>Arjen et Julian</w:t>
            </w:r>
          </w:p>
        </w:tc>
        <w:tc>
          <w:tcPr>
            <w:tcW w:w="2127" w:type="dxa"/>
          </w:tcPr>
          <w:p w14:paraId="4CCF6712" w14:textId="77777777" w:rsidR="000E7CE9" w:rsidRPr="00863FFD" w:rsidRDefault="000E7CE9">
            <w:pPr>
              <w:rPr>
                <w:sz w:val="22"/>
                <w:szCs w:val="22"/>
              </w:rPr>
            </w:pPr>
            <w:r>
              <w:rPr>
                <w:sz w:val="22"/>
                <w:szCs w:val="22"/>
              </w:rPr>
              <w:t>2 diapositives et explication</w:t>
            </w:r>
          </w:p>
        </w:tc>
      </w:tr>
      <w:tr w:rsidR="000E7CE9" w:rsidRPr="00863FFD" w14:paraId="4CCF6719" w14:textId="77777777" w:rsidTr="002445F3">
        <w:tc>
          <w:tcPr>
            <w:tcW w:w="1491" w:type="dxa"/>
          </w:tcPr>
          <w:p w14:paraId="4CCF6714" w14:textId="77777777" w:rsidR="000E7CE9" w:rsidRPr="00863FFD" w:rsidRDefault="007E7676">
            <w:pPr>
              <w:rPr>
                <w:sz w:val="22"/>
                <w:szCs w:val="22"/>
              </w:rPr>
            </w:pPr>
            <w:r>
              <w:rPr>
                <w:sz w:val="22"/>
                <w:szCs w:val="22"/>
              </w:rPr>
              <w:t>14h10-14h40</w:t>
            </w:r>
          </w:p>
        </w:tc>
        <w:tc>
          <w:tcPr>
            <w:tcW w:w="3579" w:type="dxa"/>
          </w:tcPr>
          <w:p w14:paraId="4CCF6715" w14:textId="77777777" w:rsidR="000E7CE9" w:rsidRPr="00863FFD" w:rsidRDefault="007E7676" w:rsidP="0033149E">
            <w:pPr>
              <w:rPr>
                <w:sz w:val="22"/>
                <w:szCs w:val="22"/>
              </w:rPr>
            </w:pPr>
            <w:r>
              <w:rPr>
                <w:sz w:val="22"/>
                <w:szCs w:val="22"/>
              </w:rPr>
              <w:t>Analyse des profils d’enseignant d’EFP en 2010</w:t>
            </w:r>
          </w:p>
        </w:tc>
        <w:tc>
          <w:tcPr>
            <w:tcW w:w="1842" w:type="dxa"/>
          </w:tcPr>
          <w:p w14:paraId="4CCF6716" w14:textId="77777777" w:rsidR="000E7CE9" w:rsidRPr="00863FFD" w:rsidRDefault="000E7CE9">
            <w:pPr>
              <w:rPr>
                <w:sz w:val="22"/>
                <w:szCs w:val="22"/>
              </w:rPr>
            </w:pPr>
          </w:p>
        </w:tc>
        <w:tc>
          <w:tcPr>
            <w:tcW w:w="2127" w:type="dxa"/>
          </w:tcPr>
          <w:p w14:paraId="4CCF6717" w14:textId="77777777" w:rsidR="00DB55DA" w:rsidRDefault="0033149E" w:rsidP="0033149E">
            <w:pPr>
              <w:rPr>
                <w:sz w:val="22"/>
                <w:szCs w:val="22"/>
              </w:rPr>
            </w:pPr>
            <w:r>
              <w:rPr>
                <w:sz w:val="22"/>
                <w:szCs w:val="22"/>
              </w:rPr>
              <w:t>Tables de discussion</w:t>
            </w:r>
          </w:p>
          <w:p w14:paraId="4CCF6718" w14:textId="77777777" w:rsidR="000E7CE9" w:rsidRPr="00863FFD" w:rsidRDefault="00DB55DA" w:rsidP="0033149E">
            <w:pPr>
              <w:rPr>
                <w:sz w:val="22"/>
                <w:szCs w:val="22"/>
              </w:rPr>
            </w:pPr>
            <w:r>
              <w:rPr>
                <w:sz w:val="22"/>
                <w:szCs w:val="22"/>
              </w:rPr>
              <w:lastRenderedPageBreak/>
              <w:t>Renseignement des formulaires</w:t>
            </w:r>
          </w:p>
        </w:tc>
      </w:tr>
      <w:tr w:rsidR="000E7CE9" w:rsidRPr="00863FFD" w14:paraId="4CCF671F" w14:textId="77777777" w:rsidTr="002445F3">
        <w:tc>
          <w:tcPr>
            <w:tcW w:w="1491" w:type="dxa"/>
          </w:tcPr>
          <w:p w14:paraId="4CCF671A" w14:textId="77777777" w:rsidR="000E7CE9" w:rsidRPr="00863FFD" w:rsidRDefault="007E7676">
            <w:pPr>
              <w:rPr>
                <w:sz w:val="22"/>
                <w:szCs w:val="22"/>
              </w:rPr>
            </w:pPr>
            <w:r>
              <w:rPr>
                <w:sz w:val="22"/>
                <w:szCs w:val="22"/>
              </w:rPr>
              <w:lastRenderedPageBreak/>
              <w:t>14h40-15h05</w:t>
            </w:r>
          </w:p>
        </w:tc>
        <w:tc>
          <w:tcPr>
            <w:tcW w:w="3579" w:type="dxa"/>
          </w:tcPr>
          <w:p w14:paraId="4CCF671B" w14:textId="77777777" w:rsidR="000E7CE9" w:rsidRPr="00863FFD" w:rsidRDefault="0033149E">
            <w:pPr>
              <w:rPr>
                <w:sz w:val="22"/>
                <w:szCs w:val="22"/>
              </w:rPr>
            </w:pPr>
            <w:r>
              <w:rPr>
                <w:sz w:val="22"/>
                <w:szCs w:val="22"/>
              </w:rPr>
              <w:t xml:space="preserve">Prédiction des profils d’enseignant d’EFP en 2030 </w:t>
            </w:r>
          </w:p>
        </w:tc>
        <w:tc>
          <w:tcPr>
            <w:tcW w:w="1842" w:type="dxa"/>
          </w:tcPr>
          <w:p w14:paraId="4CCF671C" w14:textId="77777777" w:rsidR="000E7CE9" w:rsidRPr="00863FFD" w:rsidRDefault="000E7CE9">
            <w:pPr>
              <w:rPr>
                <w:sz w:val="22"/>
                <w:szCs w:val="22"/>
              </w:rPr>
            </w:pPr>
          </w:p>
        </w:tc>
        <w:tc>
          <w:tcPr>
            <w:tcW w:w="2127" w:type="dxa"/>
          </w:tcPr>
          <w:p w14:paraId="4CCF671D" w14:textId="77777777" w:rsidR="00DB55DA" w:rsidRDefault="0033149E" w:rsidP="0033149E">
            <w:pPr>
              <w:rPr>
                <w:sz w:val="22"/>
                <w:szCs w:val="22"/>
              </w:rPr>
            </w:pPr>
            <w:r>
              <w:rPr>
                <w:sz w:val="22"/>
                <w:szCs w:val="22"/>
              </w:rPr>
              <w:t>Tables de discussion</w:t>
            </w:r>
          </w:p>
          <w:p w14:paraId="4CCF671E" w14:textId="77777777" w:rsidR="000E7CE9" w:rsidRPr="00863FFD" w:rsidRDefault="00DB55DA" w:rsidP="0033149E">
            <w:pPr>
              <w:rPr>
                <w:sz w:val="22"/>
                <w:szCs w:val="22"/>
              </w:rPr>
            </w:pPr>
            <w:r>
              <w:rPr>
                <w:sz w:val="22"/>
                <w:szCs w:val="22"/>
              </w:rPr>
              <w:t>Renseignement des formulaires</w:t>
            </w:r>
          </w:p>
        </w:tc>
      </w:tr>
      <w:tr w:rsidR="000E7CE9" w:rsidRPr="00863FFD" w14:paraId="4CCF6727" w14:textId="77777777" w:rsidTr="002445F3">
        <w:tc>
          <w:tcPr>
            <w:tcW w:w="1491" w:type="dxa"/>
          </w:tcPr>
          <w:p w14:paraId="4CCF6720" w14:textId="77777777" w:rsidR="000E7CE9" w:rsidRPr="00863FFD" w:rsidRDefault="0033149E">
            <w:pPr>
              <w:rPr>
                <w:sz w:val="22"/>
                <w:szCs w:val="22"/>
              </w:rPr>
            </w:pPr>
            <w:r>
              <w:rPr>
                <w:sz w:val="22"/>
                <w:szCs w:val="22"/>
              </w:rPr>
              <w:t>15h05-15h30</w:t>
            </w:r>
          </w:p>
        </w:tc>
        <w:tc>
          <w:tcPr>
            <w:tcW w:w="3579" w:type="dxa"/>
          </w:tcPr>
          <w:p w14:paraId="4CCF6721" w14:textId="77777777" w:rsidR="00395DEB" w:rsidRPr="00863FFD" w:rsidRDefault="007E7676">
            <w:pPr>
              <w:rPr>
                <w:sz w:val="22"/>
                <w:szCs w:val="22"/>
              </w:rPr>
            </w:pPr>
            <w:r>
              <w:rPr>
                <w:sz w:val="22"/>
                <w:szCs w:val="22"/>
              </w:rPr>
              <w:t>Commentaires et synthèse des résultats des différentes tables</w:t>
            </w:r>
          </w:p>
        </w:tc>
        <w:tc>
          <w:tcPr>
            <w:tcW w:w="1842" w:type="dxa"/>
          </w:tcPr>
          <w:p w14:paraId="4CCF6722" w14:textId="77777777" w:rsidR="005809D1" w:rsidRDefault="005809D1" w:rsidP="00483A1A">
            <w:pPr>
              <w:rPr>
                <w:sz w:val="22"/>
                <w:szCs w:val="22"/>
              </w:rPr>
            </w:pPr>
            <w:r>
              <w:rPr>
                <w:sz w:val="22"/>
                <w:szCs w:val="22"/>
              </w:rPr>
              <w:t>Facilitateur</w:t>
            </w:r>
          </w:p>
          <w:p w14:paraId="4CCF6723" w14:textId="77777777" w:rsidR="000E7CE9" w:rsidRPr="00863FFD" w:rsidRDefault="005809D1" w:rsidP="00483A1A">
            <w:pPr>
              <w:rPr>
                <w:sz w:val="22"/>
                <w:szCs w:val="22"/>
              </w:rPr>
            </w:pPr>
            <w:r>
              <w:rPr>
                <w:sz w:val="22"/>
                <w:szCs w:val="22"/>
              </w:rPr>
              <w:t>Arjen</w:t>
            </w:r>
          </w:p>
        </w:tc>
        <w:tc>
          <w:tcPr>
            <w:tcW w:w="2127" w:type="dxa"/>
          </w:tcPr>
          <w:p w14:paraId="4CCF6724" w14:textId="77777777" w:rsidR="00DB55DA" w:rsidRDefault="00DB55DA" w:rsidP="00DB55DA">
            <w:pPr>
              <w:rPr>
                <w:sz w:val="22"/>
                <w:szCs w:val="22"/>
              </w:rPr>
            </w:pPr>
            <w:r>
              <w:rPr>
                <w:sz w:val="22"/>
                <w:szCs w:val="22"/>
              </w:rPr>
              <w:t xml:space="preserve">Séance plénière </w:t>
            </w:r>
          </w:p>
          <w:p w14:paraId="4CCF6725" w14:textId="77777777" w:rsidR="00DB55DA" w:rsidRDefault="0033149E" w:rsidP="00DB55DA">
            <w:pPr>
              <w:rPr>
                <w:sz w:val="22"/>
                <w:szCs w:val="22"/>
              </w:rPr>
            </w:pPr>
            <w:r>
              <w:rPr>
                <w:sz w:val="22"/>
                <w:szCs w:val="22"/>
              </w:rPr>
              <w:t xml:space="preserve">Jeu de rôle </w:t>
            </w:r>
          </w:p>
          <w:p w14:paraId="4CCF6726" w14:textId="77777777" w:rsidR="000B41BB" w:rsidRPr="00863FFD" w:rsidRDefault="00DB55DA" w:rsidP="00DB55DA">
            <w:pPr>
              <w:rPr>
                <w:sz w:val="22"/>
                <w:szCs w:val="22"/>
              </w:rPr>
            </w:pPr>
            <w:r>
              <w:rPr>
                <w:sz w:val="22"/>
                <w:szCs w:val="22"/>
              </w:rPr>
              <w:t>Discussion</w:t>
            </w:r>
          </w:p>
        </w:tc>
      </w:tr>
      <w:tr w:rsidR="005C3B64" w:rsidRPr="00863FFD" w14:paraId="4CCF672C" w14:textId="77777777" w:rsidTr="002445F3">
        <w:tc>
          <w:tcPr>
            <w:tcW w:w="1491" w:type="dxa"/>
          </w:tcPr>
          <w:p w14:paraId="4CCF6728" w14:textId="77777777" w:rsidR="005C3B64" w:rsidRPr="0033149E" w:rsidRDefault="005C3B64">
            <w:pPr>
              <w:rPr>
                <w:b/>
                <w:sz w:val="22"/>
                <w:szCs w:val="22"/>
              </w:rPr>
            </w:pPr>
            <w:r>
              <w:rPr>
                <w:b/>
                <w:sz w:val="22"/>
                <w:szCs w:val="22"/>
              </w:rPr>
              <w:t>15h30 - 16h00</w:t>
            </w:r>
          </w:p>
        </w:tc>
        <w:tc>
          <w:tcPr>
            <w:tcW w:w="3579" w:type="dxa"/>
          </w:tcPr>
          <w:p w14:paraId="4CCF6729" w14:textId="64F5FCCA" w:rsidR="005C3B64" w:rsidRPr="0033149E" w:rsidRDefault="004B5D84">
            <w:pPr>
              <w:rPr>
                <w:b/>
                <w:sz w:val="22"/>
                <w:szCs w:val="22"/>
              </w:rPr>
            </w:pPr>
            <w:r>
              <w:rPr>
                <w:b/>
                <w:sz w:val="22"/>
                <w:szCs w:val="22"/>
              </w:rPr>
              <w:t>Pause-</w:t>
            </w:r>
            <w:r w:rsidR="005C3B64">
              <w:rPr>
                <w:b/>
                <w:sz w:val="22"/>
                <w:szCs w:val="22"/>
              </w:rPr>
              <w:t>café</w:t>
            </w:r>
          </w:p>
        </w:tc>
        <w:tc>
          <w:tcPr>
            <w:tcW w:w="1842" w:type="dxa"/>
          </w:tcPr>
          <w:p w14:paraId="4CCF672A" w14:textId="77777777" w:rsidR="005C3B64" w:rsidRPr="0033149E" w:rsidRDefault="005C3B64" w:rsidP="000B41BB">
            <w:pPr>
              <w:rPr>
                <w:b/>
                <w:sz w:val="22"/>
                <w:szCs w:val="22"/>
              </w:rPr>
            </w:pPr>
          </w:p>
        </w:tc>
        <w:tc>
          <w:tcPr>
            <w:tcW w:w="2127" w:type="dxa"/>
          </w:tcPr>
          <w:p w14:paraId="4CCF672B" w14:textId="77777777" w:rsidR="005C3B64" w:rsidRPr="0033149E" w:rsidRDefault="005C3B64">
            <w:pPr>
              <w:rPr>
                <w:b/>
                <w:sz w:val="22"/>
                <w:szCs w:val="22"/>
              </w:rPr>
            </w:pPr>
          </w:p>
        </w:tc>
      </w:tr>
      <w:tr w:rsidR="005C3B64" w:rsidRPr="00863FFD" w14:paraId="4CCF6731" w14:textId="77777777" w:rsidTr="002445F3">
        <w:tc>
          <w:tcPr>
            <w:tcW w:w="1491" w:type="dxa"/>
          </w:tcPr>
          <w:p w14:paraId="4CCF672D" w14:textId="77777777" w:rsidR="005C3B64" w:rsidRPr="00863FFD" w:rsidRDefault="0033149E">
            <w:pPr>
              <w:rPr>
                <w:sz w:val="22"/>
                <w:szCs w:val="22"/>
              </w:rPr>
            </w:pPr>
            <w:r>
              <w:rPr>
                <w:sz w:val="22"/>
                <w:szCs w:val="22"/>
              </w:rPr>
              <w:t>16h00-16h30</w:t>
            </w:r>
          </w:p>
        </w:tc>
        <w:tc>
          <w:tcPr>
            <w:tcW w:w="3579" w:type="dxa"/>
          </w:tcPr>
          <w:p w14:paraId="4CCF672E" w14:textId="77777777" w:rsidR="00483A1A" w:rsidRPr="00863FFD" w:rsidRDefault="0033149E" w:rsidP="005809D1">
            <w:pPr>
              <w:rPr>
                <w:sz w:val="22"/>
                <w:szCs w:val="22"/>
              </w:rPr>
            </w:pPr>
            <w:r>
              <w:rPr>
                <w:sz w:val="22"/>
                <w:szCs w:val="22"/>
              </w:rPr>
              <w:t>S’assurer que les enseignants d’EFP sont prêts pour 2030 : Identification des actions et des acteurs</w:t>
            </w:r>
          </w:p>
        </w:tc>
        <w:tc>
          <w:tcPr>
            <w:tcW w:w="1842" w:type="dxa"/>
          </w:tcPr>
          <w:p w14:paraId="4CCF672F" w14:textId="77777777" w:rsidR="005C3B64" w:rsidRPr="00863FFD" w:rsidRDefault="005C3B64" w:rsidP="00E9309F">
            <w:pPr>
              <w:rPr>
                <w:sz w:val="22"/>
                <w:szCs w:val="22"/>
              </w:rPr>
            </w:pPr>
          </w:p>
        </w:tc>
        <w:tc>
          <w:tcPr>
            <w:tcW w:w="2127" w:type="dxa"/>
          </w:tcPr>
          <w:p w14:paraId="4CCF6730" w14:textId="77777777" w:rsidR="005C3B64" w:rsidRPr="00863FFD" w:rsidRDefault="005C3B64">
            <w:pPr>
              <w:rPr>
                <w:sz w:val="22"/>
                <w:szCs w:val="22"/>
              </w:rPr>
            </w:pPr>
          </w:p>
        </w:tc>
      </w:tr>
      <w:tr w:rsidR="0033149E" w:rsidRPr="00863FFD" w14:paraId="4CCF6737" w14:textId="77777777" w:rsidTr="002445F3">
        <w:tc>
          <w:tcPr>
            <w:tcW w:w="1491" w:type="dxa"/>
          </w:tcPr>
          <w:p w14:paraId="4CCF6732" w14:textId="77777777" w:rsidR="0033149E" w:rsidRDefault="0033149E" w:rsidP="0033149E">
            <w:pPr>
              <w:rPr>
                <w:sz w:val="22"/>
                <w:szCs w:val="22"/>
              </w:rPr>
            </w:pPr>
            <w:r>
              <w:rPr>
                <w:sz w:val="22"/>
                <w:szCs w:val="22"/>
              </w:rPr>
              <w:t>16h30-16h45</w:t>
            </w:r>
          </w:p>
        </w:tc>
        <w:tc>
          <w:tcPr>
            <w:tcW w:w="3579" w:type="dxa"/>
          </w:tcPr>
          <w:p w14:paraId="4CCF6733" w14:textId="77777777" w:rsidR="0033149E" w:rsidRDefault="0033149E">
            <w:pPr>
              <w:rPr>
                <w:sz w:val="22"/>
                <w:szCs w:val="22"/>
              </w:rPr>
            </w:pPr>
            <w:r>
              <w:rPr>
                <w:sz w:val="22"/>
                <w:szCs w:val="22"/>
              </w:rPr>
              <w:t>Synthèse des actions et des acteurs des différentes tables</w:t>
            </w:r>
          </w:p>
        </w:tc>
        <w:tc>
          <w:tcPr>
            <w:tcW w:w="1842" w:type="dxa"/>
          </w:tcPr>
          <w:p w14:paraId="4CCF6734" w14:textId="77777777" w:rsidR="0033149E" w:rsidRDefault="005809D1" w:rsidP="00E9309F">
            <w:pPr>
              <w:rPr>
                <w:sz w:val="22"/>
                <w:szCs w:val="22"/>
              </w:rPr>
            </w:pPr>
            <w:r>
              <w:rPr>
                <w:sz w:val="22"/>
                <w:szCs w:val="22"/>
              </w:rPr>
              <w:t>Facilitateur Arjen</w:t>
            </w:r>
          </w:p>
        </w:tc>
        <w:tc>
          <w:tcPr>
            <w:tcW w:w="2127" w:type="dxa"/>
          </w:tcPr>
          <w:p w14:paraId="4CCF6735" w14:textId="77777777" w:rsidR="00A1479F" w:rsidRDefault="0033149E">
            <w:pPr>
              <w:rPr>
                <w:sz w:val="22"/>
                <w:szCs w:val="22"/>
              </w:rPr>
            </w:pPr>
            <w:r>
              <w:rPr>
                <w:sz w:val="22"/>
                <w:szCs w:val="22"/>
              </w:rPr>
              <w:t>Padlet</w:t>
            </w:r>
          </w:p>
          <w:p w14:paraId="4CCF6736" w14:textId="77777777" w:rsidR="0033149E" w:rsidRDefault="0033149E">
            <w:pPr>
              <w:rPr>
                <w:sz w:val="22"/>
                <w:szCs w:val="22"/>
              </w:rPr>
            </w:pPr>
          </w:p>
        </w:tc>
      </w:tr>
      <w:tr w:rsidR="00395DEB" w:rsidRPr="00863FFD" w14:paraId="4CCF673C" w14:textId="77777777" w:rsidTr="002445F3">
        <w:tc>
          <w:tcPr>
            <w:tcW w:w="1491" w:type="dxa"/>
          </w:tcPr>
          <w:p w14:paraId="4CCF6738" w14:textId="77777777" w:rsidR="00395DEB" w:rsidRPr="00863FFD" w:rsidRDefault="0033149E">
            <w:pPr>
              <w:rPr>
                <w:sz w:val="22"/>
                <w:szCs w:val="22"/>
              </w:rPr>
            </w:pPr>
            <w:r>
              <w:rPr>
                <w:sz w:val="22"/>
                <w:szCs w:val="22"/>
              </w:rPr>
              <w:t>16h0-16h5</w:t>
            </w:r>
          </w:p>
        </w:tc>
        <w:tc>
          <w:tcPr>
            <w:tcW w:w="3579" w:type="dxa"/>
          </w:tcPr>
          <w:p w14:paraId="4CCF6739" w14:textId="77777777" w:rsidR="00395DEB" w:rsidRPr="00863FFD" w:rsidRDefault="00395DEB" w:rsidP="00395DEB">
            <w:pPr>
              <w:rPr>
                <w:sz w:val="22"/>
                <w:szCs w:val="22"/>
              </w:rPr>
            </w:pPr>
            <w:r>
              <w:rPr>
                <w:b/>
                <w:sz w:val="22"/>
                <w:szCs w:val="22"/>
              </w:rPr>
              <w:t>Bilan :</w:t>
            </w:r>
            <w:r>
              <w:rPr>
                <w:sz w:val="22"/>
                <w:szCs w:val="22"/>
              </w:rPr>
              <w:t xml:space="preserve"> points saillants, principales idées, complémentarités, recommandations pour le rapport</w:t>
            </w:r>
          </w:p>
        </w:tc>
        <w:tc>
          <w:tcPr>
            <w:tcW w:w="1842" w:type="dxa"/>
          </w:tcPr>
          <w:p w14:paraId="4CCF673A" w14:textId="77777777" w:rsidR="00395DEB" w:rsidRPr="00863FFD" w:rsidRDefault="005809D1" w:rsidP="000B41BB">
            <w:pPr>
              <w:rPr>
                <w:sz w:val="22"/>
                <w:szCs w:val="22"/>
              </w:rPr>
            </w:pPr>
            <w:r>
              <w:rPr>
                <w:sz w:val="22"/>
                <w:szCs w:val="22"/>
              </w:rPr>
              <w:t>Julian et Alqi</w:t>
            </w:r>
          </w:p>
        </w:tc>
        <w:tc>
          <w:tcPr>
            <w:tcW w:w="2127" w:type="dxa"/>
          </w:tcPr>
          <w:p w14:paraId="4CCF673B" w14:textId="77777777" w:rsidR="00395DEB" w:rsidRPr="00863FFD" w:rsidRDefault="00395DEB">
            <w:pPr>
              <w:rPr>
                <w:sz w:val="22"/>
                <w:szCs w:val="22"/>
              </w:rPr>
            </w:pPr>
          </w:p>
        </w:tc>
      </w:tr>
      <w:tr w:rsidR="00395DEB" w:rsidRPr="00863FFD" w14:paraId="4CCF6741" w14:textId="77777777" w:rsidTr="002445F3">
        <w:tc>
          <w:tcPr>
            <w:tcW w:w="1491" w:type="dxa"/>
          </w:tcPr>
          <w:p w14:paraId="4CCF673D" w14:textId="77777777" w:rsidR="00395DEB" w:rsidRPr="00863FFD" w:rsidRDefault="00395DEB">
            <w:pPr>
              <w:rPr>
                <w:sz w:val="22"/>
                <w:szCs w:val="22"/>
              </w:rPr>
            </w:pPr>
            <w:r>
              <w:rPr>
                <w:sz w:val="22"/>
                <w:szCs w:val="22"/>
              </w:rPr>
              <w:t>16h55 - 17h00</w:t>
            </w:r>
          </w:p>
        </w:tc>
        <w:tc>
          <w:tcPr>
            <w:tcW w:w="3579" w:type="dxa"/>
          </w:tcPr>
          <w:p w14:paraId="4CCF673E" w14:textId="77777777" w:rsidR="00395DEB" w:rsidRPr="00863FFD" w:rsidRDefault="00395DEB" w:rsidP="00395DEB">
            <w:pPr>
              <w:rPr>
                <w:b/>
                <w:sz w:val="22"/>
                <w:szCs w:val="22"/>
              </w:rPr>
            </w:pPr>
            <w:r>
              <w:rPr>
                <w:b/>
                <w:sz w:val="22"/>
                <w:szCs w:val="22"/>
              </w:rPr>
              <w:t>Remerciements, fin de session</w:t>
            </w:r>
          </w:p>
        </w:tc>
        <w:tc>
          <w:tcPr>
            <w:tcW w:w="1842" w:type="dxa"/>
          </w:tcPr>
          <w:p w14:paraId="4CCF673F" w14:textId="77777777" w:rsidR="00395DEB" w:rsidRPr="00863FFD" w:rsidRDefault="0033149E" w:rsidP="005809D1">
            <w:pPr>
              <w:rPr>
                <w:sz w:val="22"/>
                <w:szCs w:val="22"/>
              </w:rPr>
            </w:pPr>
            <w:r>
              <w:rPr>
                <w:sz w:val="22"/>
                <w:szCs w:val="22"/>
              </w:rPr>
              <w:t xml:space="preserve">Arjen </w:t>
            </w:r>
          </w:p>
        </w:tc>
        <w:tc>
          <w:tcPr>
            <w:tcW w:w="2127" w:type="dxa"/>
          </w:tcPr>
          <w:p w14:paraId="4CCF6740" w14:textId="77777777" w:rsidR="00395DEB" w:rsidRPr="00863FFD" w:rsidRDefault="00395DEB" w:rsidP="008B3EC7">
            <w:pPr>
              <w:rPr>
                <w:sz w:val="22"/>
                <w:szCs w:val="22"/>
              </w:rPr>
            </w:pPr>
            <w:r>
              <w:rPr>
                <w:sz w:val="22"/>
                <w:szCs w:val="22"/>
              </w:rPr>
              <w:t>Observations finales informelles</w:t>
            </w:r>
          </w:p>
        </w:tc>
      </w:tr>
    </w:tbl>
    <w:p w14:paraId="4CCF6742" w14:textId="77777777" w:rsidR="006C6063" w:rsidRPr="00863FFD" w:rsidRDefault="006C6063"/>
    <w:sectPr w:rsidR="006C6063" w:rsidRPr="00863FFD" w:rsidSect="00F509F4">
      <w:footerReference w:type="even" r:id="rId13"/>
      <w:footerReference w:type="default" r:id="rId14"/>
      <w:pgSz w:w="11900" w:h="16840"/>
      <w:pgMar w:top="1276" w:right="141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F6747" w14:textId="77777777" w:rsidR="0012229D" w:rsidRDefault="0012229D" w:rsidP="008B3EC7">
      <w:r>
        <w:separator/>
      </w:r>
    </w:p>
  </w:endnote>
  <w:endnote w:type="continuationSeparator" w:id="0">
    <w:p w14:paraId="4CCF6748" w14:textId="77777777" w:rsidR="0012229D" w:rsidRDefault="0012229D" w:rsidP="008B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LT CYR">
    <w:altName w:val="Univers LT CY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6749" w14:textId="77777777" w:rsidR="00F509F4" w:rsidRDefault="008F7ECC" w:rsidP="008B3EC7">
    <w:pPr>
      <w:pStyle w:val="Footer"/>
      <w:framePr w:wrap="around" w:vAnchor="text" w:hAnchor="margin" w:xAlign="right" w:y="1"/>
      <w:rPr>
        <w:rStyle w:val="PageNumber"/>
      </w:rPr>
    </w:pPr>
    <w:r>
      <w:rPr>
        <w:rStyle w:val="PageNumber"/>
      </w:rPr>
      <w:fldChar w:fldCharType="begin"/>
    </w:r>
    <w:r w:rsidR="00F509F4">
      <w:rPr>
        <w:rStyle w:val="PageNumber"/>
      </w:rPr>
      <w:instrText xml:space="preserve">PAGE  </w:instrText>
    </w:r>
    <w:r>
      <w:rPr>
        <w:rStyle w:val="PageNumber"/>
      </w:rPr>
      <w:fldChar w:fldCharType="end"/>
    </w:r>
  </w:p>
  <w:p w14:paraId="4CCF674A" w14:textId="77777777" w:rsidR="00F509F4" w:rsidRDefault="00F509F4" w:rsidP="008B3E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F674B" w14:textId="655BDAD8" w:rsidR="00F509F4" w:rsidRDefault="008F7ECC" w:rsidP="008B3EC7">
    <w:pPr>
      <w:pStyle w:val="Footer"/>
      <w:framePr w:wrap="around" w:vAnchor="text" w:hAnchor="margin" w:xAlign="right" w:y="1"/>
      <w:rPr>
        <w:rStyle w:val="PageNumber"/>
      </w:rPr>
    </w:pPr>
    <w:r>
      <w:rPr>
        <w:rStyle w:val="PageNumber"/>
      </w:rPr>
      <w:fldChar w:fldCharType="begin"/>
    </w:r>
    <w:r w:rsidR="00F509F4">
      <w:rPr>
        <w:rStyle w:val="PageNumber"/>
      </w:rPr>
      <w:instrText xml:space="preserve">PAGE  </w:instrText>
    </w:r>
    <w:r>
      <w:rPr>
        <w:rStyle w:val="PageNumber"/>
      </w:rPr>
      <w:fldChar w:fldCharType="separate"/>
    </w:r>
    <w:r w:rsidR="00AF14FB">
      <w:rPr>
        <w:rStyle w:val="PageNumber"/>
        <w:noProof/>
      </w:rPr>
      <w:t>1</w:t>
    </w:r>
    <w:r>
      <w:rPr>
        <w:rStyle w:val="PageNumber"/>
      </w:rPr>
      <w:fldChar w:fldCharType="end"/>
    </w:r>
  </w:p>
  <w:p w14:paraId="4CCF674C" w14:textId="77777777" w:rsidR="00F509F4" w:rsidRDefault="00F509F4" w:rsidP="008B3E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F6745" w14:textId="77777777" w:rsidR="0012229D" w:rsidRDefault="0012229D" w:rsidP="008B3EC7">
      <w:r>
        <w:separator/>
      </w:r>
    </w:p>
  </w:footnote>
  <w:footnote w:type="continuationSeparator" w:id="0">
    <w:p w14:paraId="4CCF6746" w14:textId="77777777" w:rsidR="0012229D" w:rsidRDefault="0012229D" w:rsidP="008B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7E4E"/>
    <w:multiLevelType w:val="hybridMultilevel"/>
    <w:tmpl w:val="899A5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4710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A32A9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1700E96"/>
    <w:multiLevelType w:val="hybridMultilevel"/>
    <w:tmpl w:val="804675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EB0AFC"/>
    <w:multiLevelType w:val="multilevel"/>
    <w:tmpl w:val="EAE4B6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6C70980"/>
    <w:multiLevelType w:val="hybridMultilevel"/>
    <w:tmpl w:val="2E24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065F9"/>
    <w:multiLevelType w:val="hybridMultilevel"/>
    <w:tmpl w:val="9B06B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74D2F"/>
    <w:multiLevelType w:val="hybridMultilevel"/>
    <w:tmpl w:val="A5FE7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647E8"/>
    <w:multiLevelType w:val="hybridMultilevel"/>
    <w:tmpl w:val="B5203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7B502E"/>
    <w:multiLevelType w:val="hybridMultilevel"/>
    <w:tmpl w:val="6FC68536"/>
    <w:lvl w:ilvl="0" w:tplc="66EE24DE">
      <w:start w:val="1"/>
      <w:numFmt w:val="lowerRoman"/>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AC18BB"/>
    <w:multiLevelType w:val="hybridMultilevel"/>
    <w:tmpl w:val="252C65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215103A"/>
    <w:multiLevelType w:val="hybridMultilevel"/>
    <w:tmpl w:val="88EC63B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083F3B"/>
    <w:multiLevelType w:val="hybridMultilevel"/>
    <w:tmpl w:val="E1783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D30B61"/>
    <w:multiLevelType w:val="hybridMultilevel"/>
    <w:tmpl w:val="E30E4870"/>
    <w:lvl w:ilvl="0" w:tplc="66EE2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9"/>
  </w:num>
  <w:num w:numId="5">
    <w:abstractNumId w:val="11"/>
  </w:num>
  <w:num w:numId="6">
    <w:abstractNumId w:val="3"/>
  </w:num>
  <w:num w:numId="7">
    <w:abstractNumId w:val="4"/>
  </w:num>
  <w:num w:numId="8">
    <w:abstractNumId w:val="4"/>
  </w:num>
  <w:num w:numId="9">
    <w:abstractNumId w:val="1"/>
  </w:num>
  <w:num w:numId="10">
    <w:abstractNumId w:val="2"/>
  </w:num>
  <w:num w:numId="11">
    <w:abstractNumId w:val="8"/>
  </w:num>
  <w:num w:numId="12">
    <w:abstractNumId w:val="7"/>
  </w:num>
  <w:num w:numId="13">
    <w:abstractNumId w:val="6"/>
  </w:num>
  <w:num w:numId="14">
    <w:abstractNumId w:val="10"/>
  </w:num>
  <w:num w:numId="15">
    <w:abstractNumId w:val="1"/>
  </w:num>
  <w:num w:numId="16">
    <w:abstractNumId w:val="1"/>
  </w:num>
  <w:num w:numId="17">
    <w:abstractNumId w:val="1"/>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C6063"/>
    <w:rsid w:val="00002745"/>
    <w:rsid w:val="00022C91"/>
    <w:rsid w:val="000407C6"/>
    <w:rsid w:val="000B41BB"/>
    <w:rsid w:val="000B61CA"/>
    <w:rsid w:val="000E7CE9"/>
    <w:rsid w:val="0012229D"/>
    <w:rsid w:val="00131E50"/>
    <w:rsid w:val="00186BBC"/>
    <w:rsid w:val="001E34A5"/>
    <w:rsid w:val="001E5675"/>
    <w:rsid w:val="00226B3B"/>
    <w:rsid w:val="002445F3"/>
    <w:rsid w:val="002500C7"/>
    <w:rsid w:val="00287B01"/>
    <w:rsid w:val="002A28F9"/>
    <w:rsid w:val="002E60A7"/>
    <w:rsid w:val="002F2FFA"/>
    <w:rsid w:val="00303695"/>
    <w:rsid w:val="00314451"/>
    <w:rsid w:val="0033149E"/>
    <w:rsid w:val="0037223F"/>
    <w:rsid w:val="00395DEB"/>
    <w:rsid w:val="003A7488"/>
    <w:rsid w:val="003B0113"/>
    <w:rsid w:val="003D6ACD"/>
    <w:rsid w:val="003E6D84"/>
    <w:rsid w:val="003F28D2"/>
    <w:rsid w:val="00403540"/>
    <w:rsid w:val="004068E3"/>
    <w:rsid w:val="0043108A"/>
    <w:rsid w:val="00483A1A"/>
    <w:rsid w:val="004A341C"/>
    <w:rsid w:val="004B5D84"/>
    <w:rsid w:val="004D1287"/>
    <w:rsid w:val="00511DC0"/>
    <w:rsid w:val="005809D1"/>
    <w:rsid w:val="005C3B64"/>
    <w:rsid w:val="005E0AAB"/>
    <w:rsid w:val="005E0D45"/>
    <w:rsid w:val="005E49AF"/>
    <w:rsid w:val="006037E4"/>
    <w:rsid w:val="00671DEA"/>
    <w:rsid w:val="0067289C"/>
    <w:rsid w:val="006A09FA"/>
    <w:rsid w:val="006C6063"/>
    <w:rsid w:val="006D51A8"/>
    <w:rsid w:val="007D03E2"/>
    <w:rsid w:val="007E7676"/>
    <w:rsid w:val="00843F93"/>
    <w:rsid w:val="00863FFD"/>
    <w:rsid w:val="00875B16"/>
    <w:rsid w:val="0087764C"/>
    <w:rsid w:val="00892CEA"/>
    <w:rsid w:val="008A1A3B"/>
    <w:rsid w:val="008B3EC7"/>
    <w:rsid w:val="008E2ECC"/>
    <w:rsid w:val="008F7ECC"/>
    <w:rsid w:val="00904D13"/>
    <w:rsid w:val="00932CC9"/>
    <w:rsid w:val="00937D6F"/>
    <w:rsid w:val="009D6BF5"/>
    <w:rsid w:val="009F1C79"/>
    <w:rsid w:val="00A1479F"/>
    <w:rsid w:val="00A7056C"/>
    <w:rsid w:val="00AF14FB"/>
    <w:rsid w:val="00B86C40"/>
    <w:rsid w:val="00C30E04"/>
    <w:rsid w:val="00C40AC6"/>
    <w:rsid w:val="00C76925"/>
    <w:rsid w:val="00D21334"/>
    <w:rsid w:val="00D52BCD"/>
    <w:rsid w:val="00DB55DA"/>
    <w:rsid w:val="00DC2376"/>
    <w:rsid w:val="00DD2804"/>
    <w:rsid w:val="00DD3915"/>
    <w:rsid w:val="00E9309F"/>
    <w:rsid w:val="00EB6E52"/>
    <w:rsid w:val="00F36F47"/>
    <w:rsid w:val="00F509F4"/>
    <w:rsid w:val="00F648AE"/>
    <w:rsid w:val="00FE0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CF66E5"/>
  <w15:docId w15:val="{61D2A1CF-7DC3-4FFF-B707-61C147D6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E2"/>
  </w:style>
  <w:style w:type="paragraph" w:styleId="Heading1">
    <w:name w:val="heading 1"/>
    <w:basedOn w:val="Normal"/>
    <w:next w:val="Normal"/>
    <w:link w:val="Heading1Char"/>
    <w:uiPriority w:val="9"/>
    <w:qFormat/>
    <w:rsid w:val="005C3B64"/>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5C3B64"/>
    <w:pPr>
      <w:keepNext/>
      <w:keepLines/>
      <w:numPr>
        <w:ilvl w:val="1"/>
        <w:numId w:val="9"/>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C3B64"/>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3B64"/>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3B64"/>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3B64"/>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3B6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3B6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3B6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915"/>
    <w:pPr>
      <w:ind w:left="720"/>
      <w:contextualSpacing/>
    </w:pPr>
  </w:style>
  <w:style w:type="table" w:styleId="TableGrid">
    <w:name w:val="Table Grid"/>
    <w:basedOn w:val="TableNormal"/>
    <w:uiPriority w:val="59"/>
    <w:rsid w:val="000E7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B6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5C3B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3B6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C3B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3B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C3B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C3B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C3B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3B64"/>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287B01"/>
    <w:rPr>
      <w:sz w:val="16"/>
      <w:szCs w:val="16"/>
    </w:rPr>
  </w:style>
  <w:style w:type="paragraph" w:styleId="CommentText">
    <w:name w:val="annotation text"/>
    <w:basedOn w:val="Normal"/>
    <w:link w:val="CommentTextChar"/>
    <w:uiPriority w:val="99"/>
    <w:semiHidden/>
    <w:unhideWhenUsed/>
    <w:rsid w:val="00287B01"/>
    <w:rPr>
      <w:sz w:val="20"/>
      <w:szCs w:val="20"/>
    </w:rPr>
  </w:style>
  <w:style w:type="character" w:customStyle="1" w:styleId="CommentTextChar">
    <w:name w:val="Comment Text Char"/>
    <w:basedOn w:val="DefaultParagraphFont"/>
    <w:link w:val="CommentText"/>
    <w:uiPriority w:val="99"/>
    <w:semiHidden/>
    <w:rsid w:val="00287B01"/>
    <w:rPr>
      <w:sz w:val="20"/>
      <w:szCs w:val="20"/>
    </w:rPr>
  </w:style>
  <w:style w:type="paragraph" w:styleId="CommentSubject">
    <w:name w:val="annotation subject"/>
    <w:basedOn w:val="CommentText"/>
    <w:next w:val="CommentText"/>
    <w:link w:val="CommentSubjectChar"/>
    <w:uiPriority w:val="99"/>
    <w:semiHidden/>
    <w:unhideWhenUsed/>
    <w:rsid w:val="00287B01"/>
    <w:rPr>
      <w:b/>
      <w:bCs/>
    </w:rPr>
  </w:style>
  <w:style w:type="character" w:customStyle="1" w:styleId="CommentSubjectChar">
    <w:name w:val="Comment Subject Char"/>
    <w:basedOn w:val="CommentTextChar"/>
    <w:link w:val="CommentSubject"/>
    <w:uiPriority w:val="99"/>
    <w:semiHidden/>
    <w:rsid w:val="00287B01"/>
    <w:rPr>
      <w:b/>
      <w:bCs/>
      <w:sz w:val="20"/>
      <w:szCs w:val="20"/>
    </w:rPr>
  </w:style>
  <w:style w:type="paragraph" w:styleId="BalloonText">
    <w:name w:val="Balloon Text"/>
    <w:basedOn w:val="Normal"/>
    <w:link w:val="BalloonTextChar"/>
    <w:uiPriority w:val="99"/>
    <w:semiHidden/>
    <w:unhideWhenUsed/>
    <w:rsid w:val="00287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01"/>
    <w:rPr>
      <w:rFonts w:ascii="Segoe UI" w:hAnsi="Segoe UI" w:cs="Segoe UI"/>
      <w:sz w:val="18"/>
      <w:szCs w:val="18"/>
    </w:rPr>
  </w:style>
  <w:style w:type="paragraph" w:styleId="NormalWeb">
    <w:name w:val="Normal (Web)"/>
    <w:basedOn w:val="Normal"/>
    <w:uiPriority w:val="99"/>
    <w:unhideWhenUsed/>
    <w:rsid w:val="0087764C"/>
    <w:pPr>
      <w:spacing w:before="100" w:beforeAutospacing="1" w:after="100" w:afterAutospacing="1"/>
    </w:pPr>
    <w:rPr>
      <w:rFonts w:ascii="Times New Roman" w:hAnsi="Times New Roman" w:cs="Times New Roman"/>
      <w:sz w:val="20"/>
      <w:szCs w:val="20"/>
    </w:rPr>
  </w:style>
  <w:style w:type="paragraph" w:styleId="Footer">
    <w:name w:val="footer"/>
    <w:basedOn w:val="Normal"/>
    <w:link w:val="FooterChar"/>
    <w:uiPriority w:val="99"/>
    <w:unhideWhenUsed/>
    <w:rsid w:val="008B3EC7"/>
    <w:pPr>
      <w:tabs>
        <w:tab w:val="center" w:pos="4320"/>
        <w:tab w:val="right" w:pos="8640"/>
      </w:tabs>
    </w:pPr>
  </w:style>
  <w:style w:type="character" w:customStyle="1" w:styleId="FooterChar">
    <w:name w:val="Footer Char"/>
    <w:basedOn w:val="DefaultParagraphFont"/>
    <w:link w:val="Footer"/>
    <w:uiPriority w:val="99"/>
    <w:rsid w:val="008B3EC7"/>
  </w:style>
  <w:style w:type="character" w:styleId="PageNumber">
    <w:name w:val="page number"/>
    <w:basedOn w:val="DefaultParagraphFont"/>
    <w:uiPriority w:val="99"/>
    <w:semiHidden/>
    <w:unhideWhenUsed/>
    <w:rsid w:val="008B3EC7"/>
  </w:style>
  <w:style w:type="paragraph" w:customStyle="1" w:styleId="ETFBodyText">
    <w:name w:val="ETF Body Text"/>
    <w:basedOn w:val="Normal"/>
    <w:link w:val="ETFBodyTextChar"/>
    <w:autoRedefine/>
    <w:rsid w:val="003B0113"/>
    <w:pPr>
      <w:spacing w:before="60" w:after="60"/>
    </w:pPr>
    <w:rPr>
      <w:rFonts w:ascii="Arial" w:eastAsia="Times New Roman" w:hAnsi="Arial" w:cs="Times New Roman"/>
      <w:i/>
      <w:sz w:val="22"/>
      <w:szCs w:val="22"/>
      <w:lang w:eastAsia="ru-RU"/>
    </w:rPr>
  </w:style>
  <w:style w:type="character" w:customStyle="1" w:styleId="ETFBodyTextChar">
    <w:name w:val="ETF Body Text Char"/>
    <w:link w:val="ETFBodyText"/>
    <w:rsid w:val="003B0113"/>
    <w:rPr>
      <w:rFonts w:ascii="Arial" w:eastAsia="Times New Roman" w:hAnsi="Arial" w:cs="Times New Roman"/>
      <w:i/>
      <w:sz w:val="22"/>
      <w:szCs w:val="22"/>
      <w:lang w:val="fr-FR" w:eastAsia="ru-RU"/>
    </w:rPr>
  </w:style>
  <w:style w:type="paragraph" w:customStyle="1" w:styleId="Default">
    <w:name w:val="Default"/>
    <w:rsid w:val="00863FFD"/>
    <w:pPr>
      <w:autoSpaceDE w:val="0"/>
      <w:autoSpaceDN w:val="0"/>
      <w:adjustRightInd w:val="0"/>
    </w:pPr>
    <w:rPr>
      <w:rFonts w:ascii="Univers LT CYR" w:eastAsiaTheme="minorHAnsi" w:hAnsi="Univers LT CYR" w:cs="Univers LT CYR"/>
      <w:color w:val="000000"/>
    </w:rPr>
  </w:style>
  <w:style w:type="character" w:customStyle="1" w:styleId="A6">
    <w:name w:val="A6"/>
    <w:uiPriority w:val="99"/>
    <w:rsid w:val="00863FFD"/>
    <w:rPr>
      <w:rFonts w:cs="Univers LT CYR"/>
      <w:color w:val="000000"/>
      <w:sz w:val="22"/>
      <w:szCs w:val="22"/>
    </w:rPr>
  </w:style>
  <w:style w:type="paragraph" w:customStyle="1" w:styleId="xmsonormal">
    <w:name w:val="x_msonormal"/>
    <w:basedOn w:val="Normal"/>
    <w:rsid w:val="00303695"/>
    <w:rPr>
      <w:rFonts w:ascii="Times New Roman" w:eastAsiaTheme="minorHAnsi"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256799">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1556547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vent-Meeting Document" ma:contentTypeID="0x01010018C77CAB493C4CC28C851D171ACDEB5D00596B2BA2685E0A45A241E5F16505E5C500E7ACB01FCAFE3B4FAF4542484D921456" ma:contentTypeVersion="22" ma:contentTypeDescription="" ma:contentTypeScope="" ma:versionID="e427803a19bf3cda5a1a7e5998a0c5c3">
  <xsd:schema xmlns:xsd="http://www.w3.org/2001/XMLSchema" xmlns:xs="http://www.w3.org/2001/XMLSchema" xmlns:p="http://schemas.microsoft.com/office/2006/metadata/properties" xmlns:ns1="df6b2545-d15d-4d63-86ca-644416e434f8" xmlns:ns2="bc3c4bbb-6da8-4c98-8c13-a85c6b75e98e" targetNamespace="http://schemas.microsoft.com/office/2006/metadata/properties" ma:root="true" ma:fieldsID="8739439794d82d131df8c776f4407455" ns1:_="" ns2:_="">
    <xsd:import namespace="df6b2545-d15d-4d63-86ca-644416e434f8"/>
    <xsd:import namespace="bc3c4bbb-6da8-4c98-8c13-a85c6b75e98e"/>
    <xsd:element name="properties">
      <xsd:complexType>
        <xsd:sequence>
          <xsd:element name="documentManagement">
            <xsd:complexType>
              <xsd:all>
                <xsd:element ref="ns1:Event_x0020_Meeting_x0020_Document_x0020_Type"/>
                <xsd:element ref="ns2:OperationsSubArea"/>
                <xsd:element ref="ns2:ReferenceYear"/>
                <xsd:element ref="ns2:Authors" minOccurs="0"/>
                <xsd:element ref="ns2:ETFLanguage" minOccurs="0"/>
                <xsd:element ref="ns2:ReferenceNumber" minOccurs="0"/>
                <xsd:element ref="ns2:Qualifications_x0020_Keywords" minOccurs="0"/>
                <xsd:element ref="ns1:Countries" minOccurs="0"/>
                <xsd:element ref="ns1:Regions" minOccurs="0"/>
                <xsd:element ref="ns2:Origin" minOccurs="0"/>
                <xsd:element ref="ns1:General_x0020_Keywords" minOccurs="0"/>
                <xsd:element ref="ns2:Status" minOccurs="0"/>
                <xsd:element ref="ns1:PA_QUAL" minOccurs="0"/>
                <xsd:element ref="ns1:_dlc_DocId" minOccurs="0"/>
                <xsd:element ref="ns1:_dlc_DocIdUrl" minOccurs="0"/>
                <xsd:element ref="ns1:_dlc_DocIdPersistId" minOccurs="0"/>
                <xsd:element ref="ns1:IPubSourceDocPublica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Event_x0020_Meeting_x0020_Document_x0020_Type" ma:index="0" ma:displayName="Event-Meeting Document Type" ma:format="Dropdown" ma:internalName="Event_x0020_Meeting_x0020_Document_x0020_Type" ma:readOnly="false">
      <xsd:simpleType>
        <xsd:restriction base="dms:Choice">
          <xsd:enumeration value="Agenda"/>
          <xsd:enumeration value="Article"/>
          <xsd:enumeration value="Background note"/>
          <xsd:enumeration value="Briefing for speakers"/>
          <xsd:enumeration value="Budget"/>
          <xsd:enumeration value="Concept note"/>
          <xsd:enumeration value="Event assessment"/>
          <xsd:enumeration value="Event profile"/>
          <xsd:enumeration value="Feedback report"/>
          <xsd:enumeration value="Final report"/>
          <xsd:enumeration value="Invitation"/>
          <xsd:enumeration value="Paper"/>
          <xsd:enumeration value="Participants List"/>
          <xsd:enumeration value="Presentation"/>
          <xsd:enumeration value="Press release"/>
          <xsd:enumeration value="Speech"/>
        </xsd:restriction>
      </xsd:simpleType>
    </xsd:element>
    <xsd:element name="Countries" ma:index="9" nillable="true" ma:displayName="Countries" ma:list="{9194351c-4b7d-432a-9a74-6cfaf37d5a5a}" ma:internalName="Countries0" ma:readOnly="false" ma:showField="Title" ma:web="df6b2545-d15d-4d63-86ca-644416e434f8" ma:requiredMultiChoice="true">
      <xsd:complexType>
        <xsd:complexContent>
          <xsd:extension base="dms:MultiChoiceLookup">
            <xsd:sequence>
              <xsd:element name="Value" type="dms:Lookup" maxOccurs="unbounded" minOccurs="0" nillable="true"/>
            </xsd:sequence>
          </xsd:extension>
        </xsd:complexContent>
      </xsd:complexType>
    </xsd:element>
    <xsd:element name="Regions" ma:index="10" nillable="true" ma:displayName="Regions" ma:default="Not Applicable" ma:internalName="Regions" ma:readOnly="false" ma:requiredMultiChoice="true">
      <xsd:complexType>
        <xsd:complexContent>
          <xsd:extension base="dms:MultiChoice">
            <xsd:sequence>
              <xsd:element name="Value" maxOccurs="unbounded" minOccurs="0" nillable="true">
                <xsd:simpleType>
                  <xsd:restriction base="dms:Choice">
                    <xsd:enumeration value="Not Applicable"/>
                    <xsd:enumeration value="Central Asia"/>
                    <xsd:enumeration value="Eastern Europe"/>
                    <xsd:enumeration value="South Eastern Europe and Turkey (SEET)"/>
                    <xsd:enumeration value="Southern and Eastern Mediterranean (SEMED)"/>
                  </xsd:restriction>
                </xsd:simpleType>
              </xsd:element>
            </xsd:sequence>
          </xsd:extension>
        </xsd:complexContent>
      </xsd:complexType>
    </xsd:element>
    <xsd:element name="General_x0020_Keywords" ma:index="12"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PA_QUAL" ma:index="20" nillable="true" ma:displayName="Project Activity" ma:list="{a03d2809-6600-4914-80c7-0b761fb3a898}" ma:internalName="PA_QUAL" ma:showField="Title" ma:web="df6b2545-d15d-4d63-86ca-644416e434f8">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IPubSourceDocPublicationStatus" ma:index="24"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bc3c4bbb-6da8-4c98-8c13-a85c6b75e98e" elementFormDefault="qualified">
    <xsd:import namespace="http://schemas.microsoft.com/office/2006/documentManagement/types"/>
    <xsd:import namespace="http://schemas.microsoft.com/office/infopath/2007/PartnerControls"/>
    <xsd:element name="OperationsSubArea" ma:index="1" ma:displayName="Operations Sub Area" ma:format="Dropdown" ma:internalName="OperationsSubArea">
      <xsd:simpleType>
        <xsd:restriction base="dms:Choice">
          <xsd:enumeration value="Support to the EU policy and external assistance"/>
          <xsd:enumeration value="Policy analysis and system wide progress monitoring"/>
          <xsd:enumeration value="VET governance"/>
          <xsd:enumeration value="Qualifications and qualification system"/>
          <xsd:enumeration value="VET provision and quality"/>
          <xsd:enumeration value="Employment, employability and mobility"/>
          <xsd:enumeration value="Entrepreneurial learning and enterprise skills"/>
          <xsd:enumeration value="Country desks"/>
          <xsd:enumeration value="GEMM"/>
          <xsd:enumeration value="Statistics"/>
          <xsd:enumeration value="Knowledge management"/>
          <xsd:enumeration value="Capacity building"/>
          <xsd:enumeration value="Expertise development"/>
          <xsd:enumeration value="Regional activities"/>
          <xsd:enumeration value="Management and coordination"/>
          <xsd:enumeration value="Planning monitoring and reporting"/>
          <xsd:enumeration value="Finance and procurement"/>
        </xsd:restriction>
      </xsd:simpleType>
    </xsd:element>
    <xsd:element name="ReferenceYear" ma:index="4" ma:displayName="Reference Year" ma:default="2019"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Authors" ma:index="5" nillable="true" ma:displayName="Authors" ma:internalName="Authors">
      <xsd:simpleType>
        <xsd:restriction base="dms:Text"/>
      </xsd:simpleType>
    </xsd:element>
    <xsd:element name="ETFLanguage" ma:index="6"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element name="ReferenceNumber" ma:index="7" nillable="true" ma:displayName="Reference Number" ma:internalName="ReferenceNumber">
      <xsd:simpleType>
        <xsd:restriction base="dms:Text"/>
      </xsd:simpleType>
    </xsd:element>
    <xsd:element name="Qualifications_x0020_Keywords" ma:index="8" nillable="true" ma:displayName="Qualifications Keywords" ma:internalName="Qualifications_x0020_Keywords" ma:readOnly="false">
      <xsd:complexType>
        <xsd:complexContent>
          <xsd:extension base="dms:MultiChoice">
            <xsd:sequence>
              <xsd:element name="Value" maxOccurs="unbounded" minOccurs="0" nillable="true">
                <xsd:simpleType>
                  <xsd:restriction base="dms:Choice">
                    <xsd:enumeration value="Assessment and certification"/>
                    <xsd:enumeration value="Bologna Process"/>
                    <xsd:enumeration value="Credit Systems"/>
                    <xsd:enumeration value="Curricula"/>
                    <xsd:enumeration value="Standards"/>
                    <xsd:enumeration value="European Qualifications Framework"/>
                    <xsd:enumeration value="Learning outcomes"/>
                    <xsd:enumeration value="Legislation"/>
                    <xsd:enumeration value="Institutional arrangements"/>
                    <xsd:enumeration value="Mobility"/>
                    <xsd:enumeration value="Qualifications frameworks"/>
                    <xsd:enumeration value="Quality assurance of qualifications"/>
                    <xsd:enumeration value="Recognition of qualifications"/>
                    <xsd:enumeration value="Sector skills councils"/>
                    <xsd:enumeration value="Validation of non-formal and informal learning"/>
                  </xsd:restriction>
                </xsd:simpleType>
              </xsd:element>
            </xsd:sequence>
          </xsd:extension>
        </xsd:complexContent>
      </xsd:complexType>
    </xsd:element>
    <xsd:element name="Origin" ma:index="11"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13" nillable="true" ma:displayName="Status" ma:hidden="true" ma:internalName="Status" ma:readOnly="false">
      <xsd:simpleType>
        <xsd:restriction base="dms:Choice">
          <xsd:enumeration value="Draft"/>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thors xmlns="bc3c4bbb-6da8-4c98-8c13-a85c6b75e98e" xsi:nil="true"/>
    <ReferenceNumber xmlns="bc3c4bbb-6da8-4c98-8c13-a85c6b75e98e" xsi:nil="true"/>
    <Countries xmlns="df6b2545-d15d-4d63-86ca-644416e434f8">
      <Value>231</Value>
    </Countries>
    <IPubSourceDocPublicationStatus xmlns="df6b2545-d15d-4d63-86ca-644416e434f8" xsi:nil="true"/>
    <ETFLanguage xmlns="bc3c4bbb-6da8-4c98-8c13-a85c6b75e98e">English</ETFLanguage>
    <PA_QUAL xmlns="df6b2545-d15d-4d63-86ca-644416e434f8">1</PA_QUAL>
    <Regions xmlns="df6b2545-d15d-4d63-86ca-644416e434f8">
      <Value>Not Applicable</Value>
    </Regions>
    <Origin xmlns="bc3c4bbb-6da8-4c98-8c13-a85c6b75e98e" xsi:nil="true"/>
    <Qualifications_x0020_Keywords xmlns="bc3c4bbb-6da8-4c98-8c13-a85c6b75e98e"/>
    <Status xmlns="bc3c4bbb-6da8-4c98-8c13-a85c6b75e98e" xsi:nil="true"/>
    <ReferenceYear xmlns="bc3c4bbb-6da8-4c98-8c13-a85c6b75e98e">2019</ReferenceYear>
    <General_x0020_Keywords xmlns="df6b2545-d15d-4d63-86ca-644416e434f8"/>
    <OperationsSubArea xmlns="bc3c4bbb-6da8-4c98-8c13-a85c6b75e98e">Qualifications and qualification system</OperationsSubArea>
    <_dlc_DocId xmlns="df6b2545-d15d-4d63-86ca-644416e434f8">ETFDMS-2034704231-3329</_dlc_DocId>
    <_dlc_DocIdUrl xmlns="df6b2545-d15d-4d63-86ca-644416e434f8">
      <Url>https://sharing.etf.europa.eu/sites/dms/ops/qualf/_layouts/15/DocIdRedir.aspx?ID=ETFDMS-2034704231-3329</Url>
      <Description>ETFDMS-2034704231-3329</Description>
    </_dlc_DocIdUrl>
    <Event_x0020_Meeting_x0020_Document_x0020_Type xmlns="df6b2545-d15d-4d63-86ca-644416e434f8">Concept note</Event_x0020_Meeting_x0020_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43AD2-4D22-477C-8970-6C763857FF5A}">
  <ds:schemaRefs>
    <ds:schemaRef ds:uri="http://schemas.microsoft.com/sharepoint/events"/>
  </ds:schemaRefs>
</ds:datastoreItem>
</file>

<file path=customXml/itemProps2.xml><?xml version="1.0" encoding="utf-8"?>
<ds:datastoreItem xmlns:ds="http://schemas.openxmlformats.org/officeDocument/2006/customXml" ds:itemID="{01255EAF-CC6A-4D43-9CD2-DA3495A4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bc3c4bbb-6da8-4c98-8c13-a85c6b75e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DF077-41CF-4BAE-B9C5-C6E3EA33359F}">
  <ds:schemaRefs>
    <ds:schemaRef ds:uri="http://purl.org/dc/elements/1.1/"/>
    <ds:schemaRef ds:uri="df6b2545-d15d-4d63-86ca-644416e434f8"/>
    <ds:schemaRef ds:uri="http://www.w3.org/XML/1998/namespace"/>
    <ds:schemaRef ds:uri="http://purl.org/dc/terms/"/>
    <ds:schemaRef ds:uri="bc3c4bbb-6da8-4c98-8c13-a85c6b75e98e"/>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BCE8AA68-D642-49DD-88D3-94F407271F3A}">
  <ds:schemaRefs>
    <ds:schemaRef ds:uri="http://schemas.microsoft.com/sharepoint/v3/contenttype/forms"/>
  </ds:schemaRefs>
</ds:datastoreItem>
</file>

<file path=customXml/itemProps5.xml><?xml version="1.0" encoding="utf-8"?>
<ds:datastoreItem xmlns:ds="http://schemas.openxmlformats.org/officeDocument/2006/customXml" ds:itemID="{C174DD01-C173-4E68-AF37-02010E99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897</Words>
  <Characters>5119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rev_FR-045set19-ETF conference_ workshop 3 teachers EN</vt:lpstr>
      <vt:lpstr>ETF conference_workshop3 teachers EN</vt:lpstr>
    </vt:vector>
  </TitlesOfParts>
  <Company>ETF</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teachers  and Trainers  ETF Conference FR</dc:title>
  <dc:creator>Eduarda Castel-Branco</dc:creator>
  <cp:lastModifiedBy>Loretta Calcagno</cp:lastModifiedBy>
  <cp:revision>5</cp:revision>
  <cp:lastPrinted>2019-10-08T07:57:00Z</cp:lastPrinted>
  <dcterms:created xsi:type="dcterms:W3CDTF">2019-10-23T12:42:00Z</dcterms:created>
  <dcterms:modified xsi:type="dcterms:W3CDTF">2019-10-24T07:19:00Z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0x01010018C77CAB493C4CC28C851D171ACDEB5D00596B2BA2685E0A45A241E5F16505E5C500E7ACB01FCAFE3B4FAF4542484D921456</vt:lpwstr>
  </property>
  <property fmtid="{D5CDD505-2E9C-101B-9397-08002B2CF9AE}" pid="3" name="Area">
    <vt:lpwstr>Operations</vt:lpwstr>
  </property>
  <property fmtid="{D5CDD505-2E9C-101B-9397-08002B2CF9AE}" pid="4" name="_dlc_DocIdItemGuid">
    <vt:lpwstr>06b6dd71-abe4-43be-8b9b-6a0274d06bd1</vt:lpwstr>
  </property>
  <property fmtid="{D5CDD505-2E9C-101B-9397-08002B2CF9AE}" pid="5" name="OPS Tags">
    <vt:lpwstr>;#Qualifications;#</vt:lpwstr>
  </property>
</Properties>
</file>